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15F2" w14:textId="77FBCC8A" w:rsidR="00547B72" w:rsidRDefault="00547B72">
      <w:pPr>
        <w:rPr>
          <w:b/>
          <w:bCs/>
        </w:rPr>
      </w:pPr>
      <w:r w:rsidRPr="00547B72">
        <w:rPr>
          <w:b/>
          <w:bCs/>
        </w:rPr>
        <w:t xml:space="preserve">Schedule 1 </w:t>
      </w:r>
      <w:r w:rsidR="00CB4587">
        <w:rPr>
          <w:b/>
          <w:bCs/>
        </w:rPr>
        <w:t xml:space="preserve">– </w:t>
      </w:r>
      <w:r w:rsidRPr="00DA519D">
        <w:rPr>
          <w:b/>
          <w:bCs/>
        </w:rPr>
        <w:t>Increasing</w:t>
      </w:r>
      <w:r w:rsidR="00CB4587">
        <w:rPr>
          <w:b/>
          <w:bCs/>
        </w:rPr>
        <w:t xml:space="preserve"> </w:t>
      </w:r>
      <w:r w:rsidRPr="00DA519D">
        <w:rPr>
          <w:b/>
          <w:bCs/>
        </w:rPr>
        <w:t>Protection from diseases and pests</w:t>
      </w:r>
    </w:p>
    <w:p w14:paraId="11E02350" w14:textId="77777777" w:rsidR="00547B72" w:rsidRDefault="00547B72"/>
    <w:tbl>
      <w:tblPr>
        <w:tblStyle w:val="TableGrid"/>
        <w:tblW w:w="5181" w:type="pct"/>
        <w:tblLook w:val="04A0" w:firstRow="1" w:lastRow="0" w:firstColumn="1" w:lastColumn="0" w:noHBand="0" w:noVBand="1"/>
      </w:tblPr>
      <w:tblGrid>
        <w:gridCol w:w="1271"/>
        <w:gridCol w:w="5527"/>
        <w:gridCol w:w="1561"/>
        <w:gridCol w:w="1275"/>
        <w:gridCol w:w="1419"/>
        <w:gridCol w:w="1700"/>
        <w:gridCol w:w="1700"/>
      </w:tblGrid>
      <w:tr w:rsidR="00547B72" w:rsidRPr="0081795F" w14:paraId="6D18D069" w14:textId="77777777" w:rsidTr="00630761">
        <w:trPr>
          <w:cantSplit/>
          <w:tblHeader/>
        </w:trPr>
        <w:tc>
          <w:tcPr>
            <w:tcW w:w="440" w:type="pct"/>
            <w:shd w:val="clear" w:color="auto" w:fill="B4C6E7" w:themeFill="accent1" w:themeFillTint="66"/>
          </w:tcPr>
          <w:p w14:paraId="65D3DF2C" w14:textId="77777777" w:rsidR="00547B72" w:rsidRPr="0081795F" w:rsidRDefault="00547B72" w:rsidP="00630761">
            <w:pPr>
              <w:spacing w:before="0"/>
              <w:rPr>
                <w:b/>
                <w:bCs/>
                <w:sz w:val="22"/>
                <w:szCs w:val="22"/>
                <w:lang w:eastAsia="ja-JP"/>
              </w:rPr>
            </w:pPr>
            <w:r w:rsidRPr="0081795F">
              <w:rPr>
                <w:b/>
                <w:bCs/>
                <w:sz w:val="22"/>
                <w:szCs w:val="22"/>
                <w:lang w:eastAsia="ja-JP"/>
              </w:rPr>
              <w:t>Provision</w:t>
            </w:r>
          </w:p>
        </w:tc>
        <w:tc>
          <w:tcPr>
            <w:tcW w:w="1912" w:type="pct"/>
            <w:shd w:val="clear" w:color="auto" w:fill="B4C6E7" w:themeFill="accent1" w:themeFillTint="66"/>
          </w:tcPr>
          <w:p w14:paraId="0C258DB4" w14:textId="77777777" w:rsidR="00547B72" w:rsidRPr="0081795F" w:rsidRDefault="00547B72" w:rsidP="00630761">
            <w:pPr>
              <w:spacing w:before="0"/>
              <w:jc w:val="center"/>
              <w:rPr>
                <w:b/>
                <w:bCs/>
                <w:sz w:val="22"/>
                <w:szCs w:val="22"/>
                <w:lang w:eastAsia="ja-JP"/>
              </w:rPr>
            </w:pPr>
            <w:r w:rsidRPr="0081795F">
              <w:rPr>
                <w:b/>
                <w:bCs/>
                <w:sz w:val="22"/>
                <w:szCs w:val="22"/>
                <w:lang w:eastAsia="ja-JP"/>
              </w:rPr>
              <w:t>Summary</w:t>
            </w:r>
          </w:p>
          <w:p w14:paraId="17B9E964" w14:textId="77777777" w:rsidR="00547B72" w:rsidRPr="0081795F" w:rsidRDefault="00547B72" w:rsidP="00630761">
            <w:pPr>
              <w:spacing w:before="0"/>
              <w:rPr>
                <w:b/>
                <w:bCs/>
                <w:sz w:val="22"/>
                <w:szCs w:val="22"/>
                <w:lang w:eastAsia="ja-JP"/>
              </w:rPr>
            </w:pPr>
          </w:p>
          <w:p w14:paraId="523B613E" w14:textId="77777777" w:rsidR="00547B72" w:rsidRPr="0081795F" w:rsidRDefault="00547B72" w:rsidP="00630761">
            <w:pPr>
              <w:tabs>
                <w:tab w:val="left" w:pos="1596"/>
              </w:tabs>
              <w:spacing w:before="0"/>
              <w:jc w:val="center"/>
              <w:rPr>
                <w:sz w:val="22"/>
                <w:szCs w:val="22"/>
                <w:lang w:eastAsia="ja-JP"/>
              </w:rPr>
            </w:pPr>
          </w:p>
        </w:tc>
        <w:tc>
          <w:tcPr>
            <w:tcW w:w="540" w:type="pct"/>
            <w:shd w:val="clear" w:color="auto" w:fill="B4C6E7" w:themeFill="accent1" w:themeFillTint="66"/>
          </w:tcPr>
          <w:p w14:paraId="4B0E5F0A" w14:textId="77777777" w:rsidR="00547B72" w:rsidRPr="0081795F" w:rsidRDefault="00547B72" w:rsidP="00630761">
            <w:pPr>
              <w:spacing w:before="0"/>
              <w:jc w:val="center"/>
              <w:rPr>
                <w:b/>
                <w:bCs/>
                <w:sz w:val="22"/>
                <w:szCs w:val="22"/>
                <w:lang w:eastAsia="ja-JP"/>
              </w:rPr>
            </w:pPr>
            <w:r w:rsidRPr="0081795F">
              <w:rPr>
                <w:b/>
                <w:bCs/>
                <w:sz w:val="22"/>
                <w:szCs w:val="22"/>
                <w:lang w:eastAsia="ja-JP"/>
              </w:rPr>
              <w:t xml:space="preserve">Subsection </w:t>
            </w:r>
          </w:p>
        </w:tc>
        <w:tc>
          <w:tcPr>
            <w:tcW w:w="441" w:type="pct"/>
            <w:shd w:val="clear" w:color="auto" w:fill="B4C6E7" w:themeFill="accent1" w:themeFillTint="66"/>
          </w:tcPr>
          <w:p w14:paraId="0160E278" w14:textId="77777777" w:rsidR="00547B72" w:rsidRPr="0081795F" w:rsidRDefault="00547B72" w:rsidP="00630761">
            <w:pPr>
              <w:spacing w:before="0"/>
              <w:jc w:val="center"/>
              <w:rPr>
                <w:b/>
                <w:bCs/>
                <w:sz w:val="22"/>
                <w:szCs w:val="22"/>
                <w:lang w:eastAsia="ja-JP"/>
              </w:rPr>
            </w:pPr>
            <w:r w:rsidRPr="0081795F">
              <w:rPr>
                <w:b/>
                <w:bCs/>
                <w:sz w:val="22"/>
                <w:szCs w:val="22"/>
                <w:lang w:eastAsia="ja-JP"/>
              </w:rPr>
              <w:t xml:space="preserve">Current civil penalty </w:t>
            </w:r>
          </w:p>
          <w:p w14:paraId="7CDCD548" w14:textId="77777777" w:rsidR="00547B72" w:rsidRPr="0081795F" w:rsidRDefault="00547B72" w:rsidP="00630761">
            <w:pPr>
              <w:spacing w:before="0"/>
              <w:jc w:val="center"/>
              <w:rPr>
                <w:b/>
                <w:bCs/>
                <w:sz w:val="22"/>
                <w:szCs w:val="22"/>
                <w:lang w:eastAsia="ja-JP"/>
              </w:rPr>
            </w:pPr>
            <w:r w:rsidRPr="0081795F">
              <w:rPr>
                <w:b/>
                <w:bCs/>
                <w:sz w:val="22"/>
                <w:szCs w:val="22"/>
                <w:lang w:eastAsia="ja-JP"/>
              </w:rPr>
              <w:t>(penalty units / $)</w:t>
            </w:r>
          </w:p>
        </w:tc>
        <w:tc>
          <w:tcPr>
            <w:tcW w:w="491" w:type="pct"/>
            <w:shd w:val="clear" w:color="auto" w:fill="B4C6E7" w:themeFill="accent1" w:themeFillTint="66"/>
          </w:tcPr>
          <w:p w14:paraId="3EEF1422" w14:textId="42C189C2" w:rsidR="00547B72" w:rsidRPr="0081795F" w:rsidRDefault="0094789E" w:rsidP="00630761">
            <w:pPr>
              <w:spacing w:before="0"/>
              <w:jc w:val="center"/>
              <w:rPr>
                <w:b/>
                <w:bCs/>
                <w:sz w:val="22"/>
                <w:szCs w:val="22"/>
                <w:lang w:eastAsia="ja-JP"/>
              </w:rPr>
            </w:pPr>
            <w:r>
              <w:rPr>
                <w:b/>
                <w:bCs/>
                <w:sz w:val="22"/>
                <w:szCs w:val="22"/>
                <w:lang w:eastAsia="ja-JP"/>
              </w:rPr>
              <w:t>New</w:t>
            </w:r>
            <w:r w:rsidR="00547B72" w:rsidRPr="0081795F">
              <w:rPr>
                <w:b/>
                <w:bCs/>
                <w:sz w:val="22"/>
                <w:szCs w:val="22"/>
                <w:lang w:eastAsia="ja-JP"/>
              </w:rPr>
              <w:t xml:space="preserve"> civil penalty</w:t>
            </w:r>
          </w:p>
          <w:p w14:paraId="74E42DCC" w14:textId="77777777" w:rsidR="00547B72" w:rsidRPr="0081795F" w:rsidRDefault="00547B72" w:rsidP="00630761">
            <w:pPr>
              <w:spacing w:before="0"/>
              <w:jc w:val="center"/>
              <w:rPr>
                <w:b/>
                <w:bCs/>
                <w:sz w:val="22"/>
                <w:szCs w:val="22"/>
                <w:lang w:eastAsia="ja-JP"/>
              </w:rPr>
            </w:pPr>
            <w:r w:rsidRPr="0081795F">
              <w:rPr>
                <w:b/>
                <w:bCs/>
                <w:sz w:val="22"/>
                <w:szCs w:val="22"/>
                <w:lang w:eastAsia="ja-JP"/>
              </w:rPr>
              <w:t>(penalty units / $)</w:t>
            </w:r>
          </w:p>
        </w:tc>
        <w:tc>
          <w:tcPr>
            <w:tcW w:w="588" w:type="pct"/>
            <w:shd w:val="clear" w:color="auto" w:fill="B4C6E7" w:themeFill="accent1" w:themeFillTint="66"/>
          </w:tcPr>
          <w:p w14:paraId="70BDD5F4" w14:textId="77777777" w:rsidR="00547B72" w:rsidRPr="0081795F" w:rsidRDefault="00547B72" w:rsidP="00630761">
            <w:pPr>
              <w:spacing w:before="0"/>
              <w:jc w:val="center"/>
              <w:rPr>
                <w:b/>
                <w:bCs/>
                <w:sz w:val="22"/>
                <w:szCs w:val="22"/>
                <w:lang w:eastAsia="ja-JP"/>
              </w:rPr>
            </w:pPr>
            <w:r w:rsidRPr="0081795F">
              <w:rPr>
                <w:b/>
                <w:bCs/>
                <w:sz w:val="22"/>
                <w:szCs w:val="22"/>
                <w:lang w:eastAsia="ja-JP"/>
              </w:rPr>
              <w:t>Current criminal penalty</w:t>
            </w:r>
          </w:p>
          <w:p w14:paraId="3DC5F2BE" w14:textId="77777777" w:rsidR="00547B72" w:rsidRPr="0081795F" w:rsidRDefault="00547B72" w:rsidP="00630761">
            <w:pPr>
              <w:spacing w:before="0"/>
              <w:jc w:val="center"/>
              <w:rPr>
                <w:b/>
                <w:bCs/>
                <w:sz w:val="22"/>
                <w:szCs w:val="22"/>
                <w:lang w:eastAsia="ja-JP"/>
              </w:rPr>
            </w:pPr>
            <w:r w:rsidRPr="0081795F">
              <w:rPr>
                <w:b/>
                <w:bCs/>
                <w:sz w:val="22"/>
                <w:szCs w:val="22"/>
                <w:lang w:eastAsia="ja-JP"/>
              </w:rPr>
              <w:t>(fault-based offence)</w:t>
            </w:r>
          </w:p>
          <w:p w14:paraId="6DFE3BA9" w14:textId="77777777" w:rsidR="00547B72" w:rsidRPr="0081795F" w:rsidRDefault="00547B72" w:rsidP="00630761">
            <w:pPr>
              <w:spacing w:before="0"/>
              <w:jc w:val="center"/>
              <w:rPr>
                <w:b/>
                <w:bCs/>
                <w:sz w:val="22"/>
                <w:szCs w:val="22"/>
                <w:lang w:eastAsia="ja-JP"/>
              </w:rPr>
            </w:pPr>
            <w:r w:rsidRPr="0081795F">
              <w:rPr>
                <w:b/>
                <w:bCs/>
                <w:sz w:val="22"/>
                <w:szCs w:val="22"/>
                <w:lang w:eastAsia="ja-JP"/>
              </w:rPr>
              <w:t>(penalty units / $)</w:t>
            </w:r>
          </w:p>
        </w:tc>
        <w:tc>
          <w:tcPr>
            <w:tcW w:w="588" w:type="pct"/>
            <w:shd w:val="clear" w:color="auto" w:fill="B4C6E7" w:themeFill="accent1" w:themeFillTint="66"/>
          </w:tcPr>
          <w:p w14:paraId="4D43BE07" w14:textId="33C6157F" w:rsidR="00547B72" w:rsidRPr="0081795F" w:rsidRDefault="0094789E" w:rsidP="00630761">
            <w:pPr>
              <w:spacing w:before="0"/>
              <w:jc w:val="center"/>
              <w:rPr>
                <w:b/>
                <w:bCs/>
                <w:sz w:val="22"/>
                <w:szCs w:val="22"/>
                <w:lang w:eastAsia="ja-JP"/>
              </w:rPr>
            </w:pPr>
            <w:r>
              <w:rPr>
                <w:b/>
                <w:bCs/>
                <w:sz w:val="22"/>
                <w:szCs w:val="22"/>
                <w:lang w:eastAsia="ja-JP"/>
              </w:rPr>
              <w:t>New</w:t>
            </w:r>
            <w:r w:rsidR="00547B72" w:rsidRPr="0081795F">
              <w:rPr>
                <w:b/>
                <w:bCs/>
                <w:sz w:val="22"/>
                <w:szCs w:val="22"/>
                <w:lang w:eastAsia="ja-JP"/>
              </w:rPr>
              <w:t xml:space="preserve"> criminal penalty (fault-based offence)</w:t>
            </w:r>
          </w:p>
          <w:p w14:paraId="3ADDE14B" w14:textId="77777777" w:rsidR="00547B72" w:rsidRPr="0081795F" w:rsidRDefault="00547B72" w:rsidP="00630761">
            <w:pPr>
              <w:spacing w:before="0"/>
              <w:jc w:val="center"/>
              <w:rPr>
                <w:b/>
                <w:bCs/>
                <w:sz w:val="22"/>
                <w:szCs w:val="22"/>
                <w:lang w:eastAsia="ja-JP"/>
              </w:rPr>
            </w:pPr>
            <w:r w:rsidRPr="0081795F">
              <w:rPr>
                <w:b/>
                <w:bCs/>
                <w:sz w:val="22"/>
                <w:szCs w:val="22"/>
                <w:lang w:eastAsia="ja-JP"/>
              </w:rPr>
              <w:t>(penalty units / $)</w:t>
            </w:r>
          </w:p>
        </w:tc>
      </w:tr>
      <w:tr w:rsidR="00547B72" w:rsidRPr="0081795F" w14:paraId="762E5F56" w14:textId="77777777" w:rsidTr="00630761">
        <w:trPr>
          <w:cantSplit/>
          <w:tblHeader/>
        </w:trPr>
        <w:tc>
          <w:tcPr>
            <w:tcW w:w="5000" w:type="pct"/>
            <w:gridSpan w:val="7"/>
            <w:shd w:val="clear" w:color="auto" w:fill="D9E2F3" w:themeFill="accent1" w:themeFillTint="33"/>
          </w:tcPr>
          <w:p w14:paraId="6C004800" w14:textId="77777777" w:rsidR="00547B72" w:rsidRPr="0081795F" w:rsidRDefault="00547B72" w:rsidP="00630761">
            <w:pPr>
              <w:tabs>
                <w:tab w:val="left" w:pos="2289"/>
              </w:tabs>
              <w:spacing w:before="0"/>
              <w:rPr>
                <w:b/>
                <w:bCs/>
                <w:sz w:val="22"/>
                <w:szCs w:val="22"/>
                <w:lang w:eastAsia="ja-JP"/>
              </w:rPr>
            </w:pPr>
            <w:r w:rsidRPr="0081795F">
              <w:rPr>
                <w:b/>
                <w:bCs/>
                <w:sz w:val="22"/>
                <w:szCs w:val="22"/>
                <w:lang w:eastAsia="ja-JP"/>
              </w:rPr>
              <w:t>Chapter 4 - Managing biosecurity risks: conveyances</w:t>
            </w:r>
          </w:p>
          <w:p w14:paraId="61D70B94" w14:textId="77777777" w:rsidR="00547B72" w:rsidRPr="0081795F" w:rsidRDefault="00547B72" w:rsidP="00630761">
            <w:pPr>
              <w:spacing w:before="0"/>
              <w:rPr>
                <w:b/>
                <w:bCs/>
                <w:sz w:val="22"/>
                <w:szCs w:val="22"/>
                <w:lang w:eastAsia="ja-JP"/>
              </w:rPr>
            </w:pPr>
            <w:r w:rsidRPr="0081795F">
              <w:rPr>
                <w:b/>
                <w:bCs/>
                <w:sz w:val="22"/>
                <w:szCs w:val="22"/>
                <w:lang w:eastAsia="ja-JP"/>
              </w:rPr>
              <w:t>Part 2 - Conveyances entering Australian territory etc.</w:t>
            </w:r>
          </w:p>
          <w:p w14:paraId="11E4160B" w14:textId="77777777" w:rsidR="00547B72" w:rsidRPr="0081795F" w:rsidRDefault="00547B72" w:rsidP="00630761">
            <w:pPr>
              <w:spacing w:before="0"/>
              <w:rPr>
                <w:b/>
                <w:bCs/>
                <w:sz w:val="22"/>
                <w:szCs w:val="22"/>
                <w:lang w:eastAsia="ja-JP"/>
              </w:rPr>
            </w:pPr>
            <w:r w:rsidRPr="0081795F">
              <w:rPr>
                <w:b/>
                <w:bCs/>
                <w:sz w:val="22"/>
                <w:szCs w:val="22"/>
                <w:lang w:eastAsia="ja-JP"/>
              </w:rPr>
              <w:t>Division 3A – Entry requirements</w:t>
            </w:r>
            <w:r>
              <w:rPr>
                <w:b/>
                <w:bCs/>
                <w:sz w:val="22"/>
                <w:szCs w:val="22"/>
                <w:lang w:eastAsia="ja-JP"/>
              </w:rPr>
              <w:t>: persons entering Australian territory on board conveyances</w:t>
            </w:r>
          </w:p>
        </w:tc>
      </w:tr>
      <w:tr w:rsidR="00547B72" w:rsidRPr="0081795F" w14:paraId="21832DA7" w14:textId="77777777" w:rsidTr="00630761">
        <w:trPr>
          <w:cantSplit/>
          <w:trHeight w:val="517"/>
        </w:trPr>
        <w:tc>
          <w:tcPr>
            <w:tcW w:w="440" w:type="pct"/>
            <w:shd w:val="clear" w:color="auto" w:fill="D9E2F3" w:themeFill="accent1" w:themeFillTint="33"/>
          </w:tcPr>
          <w:p w14:paraId="6C0C610C" w14:textId="77777777" w:rsidR="00547B72" w:rsidRPr="0081795F" w:rsidRDefault="00547B72" w:rsidP="00630761">
            <w:pPr>
              <w:spacing w:before="0" w:line="276" w:lineRule="auto"/>
              <w:rPr>
                <w:sz w:val="22"/>
                <w:szCs w:val="22"/>
                <w:lang w:eastAsia="ja-JP"/>
              </w:rPr>
            </w:pPr>
            <w:r w:rsidRPr="0081795F">
              <w:rPr>
                <w:sz w:val="22"/>
                <w:szCs w:val="22"/>
                <w:lang w:eastAsia="ja-JP"/>
              </w:rPr>
              <w:t>196C</w:t>
            </w:r>
          </w:p>
        </w:tc>
        <w:tc>
          <w:tcPr>
            <w:tcW w:w="1912" w:type="pct"/>
          </w:tcPr>
          <w:p w14:paraId="31F3FE79" w14:textId="77777777" w:rsidR="00547B72" w:rsidRPr="0081795F" w:rsidRDefault="00547B72" w:rsidP="00630761">
            <w:pPr>
              <w:spacing w:before="0"/>
              <w:rPr>
                <w:rFonts w:cstheme="minorHAnsi"/>
                <w:sz w:val="22"/>
                <w:szCs w:val="22"/>
              </w:rPr>
            </w:pPr>
            <w:r w:rsidRPr="0081795F">
              <w:rPr>
                <w:rFonts w:cstheme="minorHAnsi"/>
                <w:sz w:val="22"/>
                <w:szCs w:val="22"/>
              </w:rPr>
              <w:t xml:space="preserve">A person to whom a requirement determined under s 196A applies must comply with the </w:t>
            </w:r>
            <w:r w:rsidRPr="0081795F">
              <w:rPr>
                <w:sz w:val="22"/>
                <w:szCs w:val="22"/>
              </w:rPr>
              <w:t>requirements relating to diseases or pests</w:t>
            </w:r>
            <w:r w:rsidRPr="0081795F">
              <w:rPr>
                <w:rFonts w:cstheme="minorHAnsi"/>
                <w:sz w:val="22"/>
                <w:szCs w:val="22"/>
              </w:rPr>
              <w:t>.</w:t>
            </w:r>
          </w:p>
        </w:tc>
        <w:tc>
          <w:tcPr>
            <w:tcW w:w="540" w:type="pct"/>
          </w:tcPr>
          <w:p w14:paraId="78763E32" w14:textId="77777777" w:rsidR="00547B72" w:rsidRPr="0081795F" w:rsidRDefault="00547B72" w:rsidP="00630761">
            <w:pPr>
              <w:spacing w:before="0" w:line="276" w:lineRule="auto"/>
              <w:jc w:val="center"/>
              <w:rPr>
                <w:sz w:val="22"/>
                <w:szCs w:val="22"/>
              </w:rPr>
            </w:pPr>
            <w:r w:rsidRPr="0081795F">
              <w:rPr>
                <w:sz w:val="22"/>
                <w:szCs w:val="22"/>
              </w:rPr>
              <w:t>196C</w:t>
            </w:r>
          </w:p>
        </w:tc>
        <w:tc>
          <w:tcPr>
            <w:tcW w:w="441" w:type="pct"/>
            <w:shd w:val="clear" w:color="auto" w:fill="D9D9D9" w:themeFill="background1" w:themeFillShade="D9"/>
          </w:tcPr>
          <w:p w14:paraId="6B3D06FD" w14:textId="77777777" w:rsidR="00547B72" w:rsidRPr="0081795F" w:rsidRDefault="00547B72" w:rsidP="00630761">
            <w:pPr>
              <w:spacing w:before="0" w:line="276" w:lineRule="auto"/>
              <w:rPr>
                <w:sz w:val="22"/>
                <w:szCs w:val="22"/>
              </w:rPr>
            </w:pPr>
            <w:r w:rsidRPr="0081795F">
              <w:rPr>
                <w:sz w:val="22"/>
                <w:szCs w:val="22"/>
              </w:rPr>
              <w:t>-</w:t>
            </w:r>
          </w:p>
        </w:tc>
        <w:tc>
          <w:tcPr>
            <w:tcW w:w="491" w:type="pct"/>
          </w:tcPr>
          <w:p w14:paraId="1F41F772" w14:textId="77777777" w:rsidR="00547B72" w:rsidRPr="0081795F" w:rsidRDefault="00547B72" w:rsidP="00630761">
            <w:pPr>
              <w:spacing w:before="0" w:line="276" w:lineRule="auto"/>
              <w:jc w:val="center"/>
              <w:rPr>
                <w:sz w:val="22"/>
                <w:szCs w:val="22"/>
                <w:lang w:eastAsia="ja-JP"/>
              </w:rPr>
            </w:pPr>
            <w:r w:rsidRPr="0081795F">
              <w:rPr>
                <w:sz w:val="22"/>
                <w:szCs w:val="22"/>
              </w:rPr>
              <w:t>120 pu</w:t>
            </w:r>
            <w:r w:rsidRPr="0081795F">
              <w:rPr>
                <w:sz w:val="22"/>
                <w:szCs w:val="22"/>
              </w:rPr>
              <w:br/>
              <w:t>$26,640</w:t>
            </w:r>
          </w:p>
        </w:tc>
        <w:tc>
          <w:tcPr>
            <w:tcW w:w="588" w:type="pct"/>
            <w:shd w:val="clear" w:color="auto" w:fill="D9D9D9" w:themeFill="background1" w:themeFillShade="D9"/>
          </w:tcPr>
          <w:p w14:paraId="40BE9AAB" w14:textId="77777777" w:rsidR="00547B72" w:rsidRPr="0081795F" w:rsidRDefault="00547B72" w:rsidP="00630761">
            <w:pPr>
              <w:spacing w:before="0" w:line="276" w:lineRule="auto"/>
              <w:rPr>
                <w:sz w:val="22"/>
                <w:szCs w:val="22"/>
              </w:rPr>
            </w:pPr>
            <w:r w:rsidRPr="0081795F">
              <w:rPr>
                <w:sz w:val="22"/>
                <w:szCs w:val="22"/>
              </w:rPr>
              <w:t>-</w:t>
            </w:r>
          </w:p>
        </w:tc>
        <w:tc>
          <w:tcPr>
            <w:tcW w:w="588" w:type="pct"/>
          </w:tcPr>
          <w:p w14:paraId="6B406C2F" w14:textId="77777777" w:rsidR="00547B72" w:rsidRPr="0081795F" w:rsidRDefault="00547B72" w:rsidP="00630761">
            <w:pPr>
              <w:spacing w:before="0" w:line="276" w:lineRule="auto"/>
              <w:rPr>
                <w:sz w:val="22"/>
                <w:szCs w:val="22"/>
                <w:lang w:eastAsia="ja-JP"/>
              </w:rPr>
            </w:pPr>
            <w:r w:rsidRPr="0081795F">
              <w:rPr>
                <w:sz w:val="22"/>
                <w:szCs w:val="22"/>
                <w:lang w:eastAsia="ja-JP"/>
              </w:rPr>
              <w:t>-</w:t>
            </w:r>
          </w:p>
        </w:tc>
      </w:tr>
      <w:tr w:rsidR="00547B72" w:rsidRPr="0081795F" w14:paraId="2AFBA8AC" w14:textId="77777777" w:rsidTr="00630761">
        <w:trPr>
          <w:cantSplit/>
          <w:trHeight w:val="371"/>
        </w:trPr>
        <w:tc>
          <w:tcPr>
            <w:tcW w:w="5000" w:type="pct"/>
            <w:gridSpan w:val="7"/>
            <w:shd w:val="clear" w:color="auto" w:fill="D9E2F3" w:themeFill="accent1" w:themeFillTint="33"/>
          </w:tcPr>
          <w:p w14:paraId="407B2CC5" w14:textId="77777777" w:rsidR="00547B72" w:rsidRPr="0081795F" w:rsidRDefault="00547B72" w:rsidP="00630761">
            <w:pPr>
              <w:spacing w:before="0"/>
              <w:rPr>
                <w:b/>
                <w:bCs/>
                <w:sz w:val="22"/>
                <w:szCs w:val="22"/>
                <w:lang w:eastAsia="ja-JP"/>
              </w:rPr>
            </w:pPr>
            <w:r w:rsidRPr="0081795F">
              <w:rPr>
                <w:b/>
                <w:bCs/>
                <w:sz w:val="22"/>
                <w:szCs w:val="22"/>
                <w:lang w:eastAsia="ja-JP"/>
              </w:rPr>
              <w:t>Chapter 6 - Managing biosecurity risks: monitoring, control and response</w:t>
            </w:r>
          </w:p>
          <w:p w14:paraId="507157E2" w14:textId="77777777" w:rsidR="00547B72" w:rsidRPr="0081795F" w:rsidRDefault="00547B72" w:rsidP="00630761">
            <w:pPr>
              <w:spacing w:before="0"/>
              <w:rPr>
                <w:b/>
                <w:bCs/>
                <w:sz w:val="22"/>
                <w:szCs w:val="22"/>
                <w:lang w:eastAsia="ja-JP"/>
              </w:rPr>
            </w:pPr>
            <w:r w:rsidRPr="0081795F">
              <w:rPr>
                <w:b/>
                <w:bCs/>
                <w:sz w:val="22"/>
                <w:szCs w:val="22"/>
                <w:lang w:eastAsia="ja-JP"/>
              </w:rPr>
              <w:t>Part 6A – Preventative biosecurity measures</w:t>
            </w:r>
          </w:p>
          <w:p w14:paraId="27455C89" w14:textId="77777777" w:rsidR="00547B72" w:rsidRPr="0081795F" w:rsidRDefault="00547B72" w:rsidP="00630761">
            <w:pPr>
              <w:spacing w:before="0"/>
              <w:rPr>
                <w:sz w:val="22"/>
                <w:szCs w:val="22"/>
                <w:lang w:eastAsia="ja-JP"/>
              </w:rPr>
            </w:pPr>
            <w:r w:rsidRPr="0081795F">
              <w:rPr>
                <w:b/>
                <w:bCs/>
                <w:sz w:val="22"/>
                <w:szCs w:val="22"/>
                <w:lang w:eastAsia="ja-JP"/>
              </w:rPr>
              <w:t>Division 2 – Preventative biosecurity measures</w:t>
            </w:r>
          </w:p>
        </w:tc>
      </w:tr>
      <w:tr w:rsidR="00547B72" w:rsidRPr="0081795F" w14:paraId="69040BC4" w14:textId="77777777" w:rsidTr="00630761">
        <w:trPr>
          <w:cantSplit/>
          <w:trHeight w:val="629"/>
        </w:trPr>
        <w:tc>
          <w:tcPr>
            <w:tcW w:w="440" w:type="pct"/>
            <w:shd w:val="clear" w:color="auto" w:fill="D9E2F3" w:themeFill="accent1" w:themeFillTint="33"/>
          </w:tcPr>
          <w:p w14:paraId="13828B1B" w14:textId="77777777" w:rsidR="00547B72" w:rsidRPr="0081795F" w:rsidRDefault="00547B72" w:rsidP="00630761">
            <w:pPr>
              <w:spacing w:before="0" w:line="276" w:lineRule="auto"/>
              <w:rPr>
                <w:sz w:val="22"/>
                <w:szCs w:val="22"/>
                <w:lang w:eastAsia="ja-JP"/>
              </w:rPr>
            </w:pPr>
            <w:r w:rsidRPr="0081795F">
              <w:rPr>
                <w:sz w:val="22"/>
                <w:szCs w:val="22"/>
                <w:lang w:eastAsia="ja-JP"/>
              </w:rPr>
              <w:t>393C</w:t>
            </w:r>
          </w:p>
        </w:tc>
        <w:tc>
          <w:tcPr>
            <w:tcW w:w="1912" w:type="pct"/>
          </w:tcPr>
          <w:p w14:paraId="121F3C44" w14:textId="77777777" w:rsidR="00547B72" w:rsidRPr="0081795F" w:rsidRDefault="00547B72" w:rsidP="00630761">
            <w:pPr>
              <w:spacing w:before="0"/>
              <w:rPr>
                <w:rFonts w:cstheme="minorHAnsi"/>
                <w:sz w:val="22"/>
                <w:szCs w:val="22"/>
              </w:rPr>
            </w:pPr>
            <w:r w:rsidRPr="0081795F">
              <w:rPr>
                <w:rFonts w:cstheme="minorHAnsi"/>
                <w:sz w:val="22"/>
                <w:szCs w:val="22"/>
              </w:rPr>
              <w:t>A person to whom a biosecurity measure specified in accordance with s 393B(2) applies must comply with the biosecurity measure</w:t>
            </w:r>
          </w:p>
        </w:tc>
        <w:tc>
          <w:tcPr>
            <w:tcW w:w="540" w:type="pct"/>
          </w:tcPr>
          <w:p w14:paraId="5357ABAF" w14:textId="77777777" w:rsidR="00547B72" w:rsidRPr="0081795F" w:rsidRDefault="00547B72" w:rsidP="00630761">
            <w:pPr>
              <w:spacing w:before="0" w:line="276" w:lineRule="auto"/>
              <w:jc w:val="center"/>
              <w:rPr>
                <w:sz w:val="22"/>
                <w:szCs w:val="22"/>
              </w:rPr>
            </w:pPr>
            <w:r w:rsidRPr="0081795F">
              <w:rPr>
                <w:sz w:val="22"/>
                <w:szCs w:val="22"/>
              </w:rPr>
              <w:t>393C</w:t>
            </w:r>
          </w:p>
        </w:tc>
        <w:tc>
          <w:tcPr>
            <w:tcW w:w="441" w:type="pct"/>
            <w:shd w:val="clear" w:color="auto" w:fill="D9D9D9" w:themeFill="background1" w:themeFillShade="D9"/>
          </w:tcPr>
          <w:p w14:paraId="65622E24" w14:textId="77777777" w:rsidR="00547B72" w:rsidRPr="0081795F" w:rsidRDefault="00547B72" w:rsidP="00630761">
            <w:pPr>
              <w:spacing w:before="0" w:line="276" w:lineRule="auto"/>
              <w:rPr>
                <w:sz w:val="22"/>
                <w:szCs w:val="22"/>
              </w:rPr>
            </w:pPr>
            <w:r w:rsidRPr="0081795F">
              <w:rPr>
                <w:sz w:val="22"/>
                <w:szCs w:val="22"/>
              </w:rPr>
              <w:t>-</w:t>
            </w:r>
          </w:p>
        </w:tc>
        <w:tc>
          <w:tcPr>
            <w:tcW w:w="491" w:type="pct"/>
          </w:tcPr>
          <w:p w14:paraId="0291058E" w14:textId="77777777" w:rsidR="00547B72" w:rsidRPr="0081795F" w:rsidRDefault="00547B72" w:rsidP="00630761">
            <w:pPr>
              <w:spacing w:before="0" w:line="276" w:lineRule="auto"/>
              <w:jc w:val="center"/>
              <w:rPr>
                <w:sz w:val="22"/>
                <w:szCs w:val="22"/>
              </w:rPr>
            </w:pPr>
            <w:r w:rsidRPr="0081795F">
              <w:rPr>
                <w:sz w:val="22"/>
                <w:szCs w:val="22"/>
              </w:rPr>
              <w:t>12</w:t>
            </w:r>
            <w:r>
              <w:rPr>
                <w:sz w:val="22"/>
                <w:szCs w:val="22"/>
              </w:rPr>
              <w:t xml:space="preserve">0 </w:t>
            </w:r>
            <w:r w:rsidRPr="0081795F">
              <w:rPr>
                <w:sz w:val="22"/>
                <w:szCs w:val="22"/>
              </w:rPr>
              <w:t>pu</w:t>
            </w:r>
          </w:p>
          <w:p w14:paraId="108ED056" w14:textId="77777777" w:rsidR="00547B72" w:rsidRPr="0081795F" w:rsidRDefault="00547B72" w:rsidP="00630761">
            <w:pPr>
              <w:spacing w:before="0" w:line="276" w:lineRule="auto"/>
              <w:jc w:val="center"/>
              <w:rPr>
                <w:sz w:val="22"/>
                <w:szCs w:val="22"/>
                <w:lang w:eastAsia="ja-JP"/>
              </w:rPr>
            </w:pPr>
            <w:r w:rsidRPr="0081795F">
              <w:rPr>
                <w:sz w:val="22"/>
                <w:szCs w:val="22"/>
              </w:rPr>
              <w:t>$26,640</w:t>
            </w:r>
          </w:p>
        </w:tc>
        <w:tc>
          <w:tcPr>
            <w:tcW w:w="588" w:type="pct"/>
            <w:shd w:val="clear" w:color="auto" w:fill="D9D9D9" w:themeFill="background1" w:themeFillShade="D9"/>
          </w:tcPr>
          <w:p w14:paraId="51DB2C1D" w14:textId="77777777" w:rsidR="00547B72" w:rsidRPr="0081795F" w:rsidRDefault="00547B72" w:rsidP="00630761">
            <w:pPr>
              <w:spacing w:before="0" w:line="276" w:lineRule="auto"/>
              <w:rPr>
                <w:sz w:val="22"/>
                <w:szCs w:val="22"/>
              </w:rPr>
            </w:pPr>
            <w:r w:rsidRPr="0081795F">
              <w:rPr>
                <w:sz w:val="22"/>
                <w:szCs w:val="22"/>
              </w:rPr>
              <w:t>-</w:t>
            </w:r>
          </w:p>
        </w:tc>
        <w:tc>
          <w:tcPr>
            <w:tcW w:w="588" w:type="pct"/>
          </w:tcPr>
          <w:p w14:paraId="60384035" w14:textId="77777777" w:rsidR="00547B72" w:rsidRPr="0081795F" w:rsidRDefault="00547B72" w:rsidP="00630761">
            <w:pPr>
              <w:spacing w:before="0" w:line="276" w:lineRule="auto"/>
              <w:rPr>
                <w:sz w:val="22"/>
                <w:szCs w:val="22"/>
                <w:lang w:eastAsia="ja-JP"/>
              </w:rPr>
            </w:pPr>
            <w:r w:rsidRPr="0081795F">
              <w:rPr>
                <w:sz w:val="22"/>
                <w:szCs w:val="22"/>
                <w:lang w:eastAsia="ja-JP"/>
              </w:rPr>
              <w:t>-</w:t>
            </w:r>
          </w:p>
        </w:tc>
      </w:tr>
    </w:tbl>
    <w:p w14:paraId="5B44483A" w14:textId="77777777" w:rsidR="00547B72" w:rsidRDefault="00547B72" w:rsidP="00547B72"/>
    <w:p w14:paraId="6593B3BB" w14:textId="77777777" w:rsidR="00547B72" w:rsidRDefault="00547B72" w:rsidP="00547B72"/>
    <w:p w14:paraId="14396A84" w14:textId="79B807EA" w:rsidR="00547B72" w:rsidRDefault="00547B72"/>
    <w:p w14:paraId="2414A487" w14:textId="46F8A715" w:rsidR="00547B72" w:rsidRDefault="00547B72"/>
    <w:p w14:paraId="4C2EBAE0" w14:textId="37C412F2" w:rsidR="00547B72" w:rsidRDefault="00547B72"/>
    <w:p w14:paraId="78179325" w14:textId="3B74EC5A" w:rsidR="00547B72" w:rsidRDefault="00547B72"/>
    <w:p w14:paraId="0F9C008E" w14:textId="6ECE027A" w:rsidR="00547B72" w:rsidRDefault="00547B72"/>
    <w:p w14:paraId="5C6BBCA6" w14:textId="6A8B6107" w:rsidR="00547B72" w:rsidRDefault="00547B72"/>
    <w:p w14:paraId="0016270F" w14:textId="7FE45ABF" w:rsidR="00547B72" w:rsidRDefault="00547B72">
      <w:pPr>
        <w:rPr>
          <w:b/>
          <w:bCs/>
        </w:rPr>
      </w:pPr>
      <w:r w:rsidRPr="00547B72">
        <w:rPr>
          <w:b/>
          <w:bCs/>
        </w:rPr>
        <w:lastRenderedPageBreak/>
        <w:t xml:space="preserve">Schedule 2 </w:t>
      </w:r>
      <w:r w:rsidR="00CB4587">
        <w:rPr>
          <w:b/>
          <w:bCs/>
        </w:rPr>
        <w:t>–</w:t>
      </w:r>
      <w:r w:rsidRPr="00547B72">
        <w:rPr>
          <w:b/>
          <w:bCs/>
        </w:rPr>
        <w:t xml:space="preserve"> Pratique</w:t>
      </w:r>
      <w:r w:rsidR="00CB4587">
        <w:rPr>
          <w:b/>
          <w:bCs/>
        </w:rPr>
        <w:t xml:space="preserve"> </w:t>
      </w:r>
      <w:r w:rsidRPr="00547B72">
        <w:rPr>
          <w:b/>
          <w:bCs/>
        </w:rPr>
        <w:t>and Pre-arrival Reporting</w:t>
      </w:r>
    </w:p>
    <w:p w14:paraId="2C2A9D67" w14:textId="77777777" w:rsidR="00547B72" w:rsidRPr="00547B72" w:rsidRDefault="00547B72">
      <w:pPr>
        <w:rPr>
          <w:b/>
          <w:bCs/>
        </w:rPr>
      </w:pPr>
    </w:p>
    <w:tbl>
      <w:tblPr>
        <w:tblStyle w:val="TableGrid"/>
        <w:tblW w:w="5181" w:type="pct"/>
        <w:tblLook w:val="04A0" w:firstRow="1" w:lastRow="0" w:firstColumn="1" w:lastColumn="0" w:noHBand="0" w:noVBand="1"/>
      </w:tblPr>
      <w:tblGrid>
        <w:gridCol w:w="1271"/>
        <w:gridCol w:w="5527"/>
        <w:gridCol w:w="1561"/>
        <w:gridCol w:w="1275"/>
        <w:gridCol w:w="1419"/>
        <w:gridCol w:w="1700"/>
        <w:gridCol w:w="1700"/>
      </w:tblGrid>
      <w:tr w:rsidR="00547B72" w:rsidRPr="0044167D" w14:paraId="24C082C7" w14:textId="77777777" w:rsidTr="00630761">
        <w:trPr>
          <w:cantSplit/>
          <w:tblHeader/>
        </w:trPr>
        <w:tc>
          <w:tcPr>
            <w:tcW w:w="440" w:type="pct"/>
            <w:shd w:val="clear" w:color="auto" w:fill="B4C6E7" w:themeFill="accent1" w:themeFillTint="66"/>
          </w:tcPr>
          <w:p w14:paraId="46E401C3" w14:textId="77777777" w:rsidR="00547B72" w:rsidRPr="0044167D" w:rsidRDefault="00547B72" w:rsidP="00630761">
            <w:pPr>
              <w:spacing w:before="0"/>
              <w:rPr>
                <w:b/>
                <w:bCs/>
                <w:sz w:val="22"/>
                <w:szCs w:val="22"/>
                <w:lang w:eastAsia="ja-JP"/>
              </w:rPr>
            </w:pPr>
            <w:bookmarkStart w:id="0" w:name="_Hlk112769414"/>
            <w:r w:rsidRPr="0044167D">
              <w:rPr>
                <w:b/>
                <w:bCs/>
                <w:sz w:val="22"/>
                <w:szCs w:val="22"/>
                <w:lang w:eastAsia="ja-JP"/>
              </w:rPr>
              <w:t>Provision</w:t>
            </w:r>
          </w:p>
        </w:tc>
        <w:tc>
          <w:tcPr>
            <w:tcW w:w="1912" w:type="pct"/>
            <w:shd w:val="clear" w:color="auto" w:fill="B4C6E7" w:themeFill="accent1" w:themeFillTint="66"/>
          </w:tcPr>
          <w:p w14:paraId="342470CE" w14:textId="77777777" w:rsidR="00547B72" w:rsidRPr="0044167D" w:rsidRDefault="00547B72" w:rsidP="00630761">
            <w:pPr>
              <w:spacing w:before="0"/>
              <w:jc w:val="center"/>
              <w:rPr>
                <w:b/>
                <w:bCs/>
                <w:sz w:val="22"/>
                <w:szCs w:val="22"/>
                <w:lang w:eastAsia="ja-JP"/>
              </w:rPr>
            </w:pPr>
            <w:r w:rsidRPr="0044167D">
              <w:rPr>
                <w:b/>
                <w:bCs/>
                <w:sz w:val="22"/>
                <w:szCs w:val="22"/>
                <w:lang w:eastAsia="ja-JP"/>
              </w:rPr>
              <w:t>Summary</w:t>
            </w:r>
          </w:p>
          <w:p w14:paraId="750855F1" w14:textId="77777777" w:rsidR="00547B72" w:rsidRPr="0044167D" w:rsidRDefault="00547B72" w:rsidP="00630761">
            <w:pPr>
              <w:spacing w:before="0"/>
              <w:rPr>
                <w:b/>
                <w:bCs/>
                <w:sz w:val="22"/>
                <w:szCs w:val="22"/>
                <w:lang w:eastAsia="ja-JP"/>
              </w:rPr>
            </w:pPr>
          </w:p>
          <w:p w14:paraId="5BD5E6D9" w14:textId="77777777" w:rsidR="00547B72" w:rsidRPr="0044167D" w:rsidRDefault="00547B72" w:rsidP="00630761">
            <w:pPr>
              <w:tabs>
                <w:tab w:val="left" w:pos="1596"/>
              </w:tabs>
              <w:spacing w:before="0"/>
              <w:jc w:val="center"/>
              <w:rPr>
                <w:sz w:val="22"/>
                <w:szCs w:val="22"/>
                <w:lang w:eastAsia="ja-JP"/>
              </w:rPr>
            </w:pPr>
          </w:p>
        </w:tc>
        <w:tc>
          <w:tcPr>
            <w:tcW w:w="540" w:type="pct"/>
            <w:shd w:val="clear" w:color="auto" w:fill="B4C6E7" w:themeFill="accent1" w:themeFillTint="66"/>
          </w:tcPr>
          <w:p w14:paraId="38060D0A" w14:textId="77777777" w:rsidR="00547B72" w:rsidRPr="0044167D" w:rsidRDefault="00547B72" w:rsidP="00630761">
            <w:pPr>
              <w:spacing w:before="0"/>
              <w:jc w:val="center"/>
              <w:rPr>
                <w:b/>
                <w:bCs/>
                <w:sz w:val="22"/>
                <w:szCs w:val="22"/>
                <w:lang w:eastAsia="ja-JP"/>
              </w:rPr>
            </w:pPr>
            <w:r w:rsidRPr="0044167D">
              <w:rPr>
                <w:b/>
                <w:bCs/>
                <w:sz w:val="22"/>
                <w:szCs w:val="22"/>
                <w:lang w:eastAsia="ja-JP"/>
              </w:rPr>
              <w:t xml:space="preserve">Subsection </w:t>
            </w:r>
          </w:p>
        </w:tc>
        <w:tc>
          <w:tcPr>
            <w:tcW w:w="441" w:type="pct"/>
            <w:shd w:val="clear" w:color="auto" w:fill="B4C6E7" w:themeFill="accent1" w:themeFillTint="66"/>
          </w:tcPr>
          <w:p w14:paraId="5B2F1C49" w14:textId="77777777" w:rsidR="00547B72" w:rsidRPr="0044167D" w:rsidRDefault="00547B72" w:rsidP="00630761">
            <w:pPr>
              <w:spacing w:before="0"/>
              <w:jc w:val="center"/>
              <w:rPr>
                <w:b/>
                <w:bCs/>
                <w:sz w:val="22"/>
                <w:szCs w:val="22"/>
                <w:lang w:eastAsia="ja-JP"/>
              </w:rPr>
            </w:pPr>
            <w:r w:rsidRPr="0044167D">
              <w:rPr>
                <w:b/>
                <w:bCs/>
                <w:sz w:val="22"/>
                <w:szCs w:val="22"/>
                <w:lang w:eastAsia="ja-JP"/>
              </w:rPr>
              <w:t>Current civil penalty</w:t>
            </w:r>
          </w:p>
          <w:p w14:paraId="395D0CB0" w14:textId="77777777" w:rsidR="00547B72" w:rsidRPr="0044167D" w:rsidRDefault="00547B72" w:rsidP="00630761">
            <w:pPr>
              <w:spacing w:before="0"/>
              <w:jc w:val="center"/>
              <w:rPr>
                <w:b/>
                <w:bCs/>
                <w:sz w:val="22"/>
                <w:szCs w:val="22"/>
                <w:lang w:eastAsia="ja-JP"/>
              </w:rPr>
            </w:pPr>
            <w:r w:rsidRPr="0044167D">
              <w:rPr>
                <w:b/>
                <w:bCs/>
                <w:sz w:val="22"/>
                <w:szCs w:val="22"/>
                <w:lang w:eastAsia="ja-JP"/>
              </w:rPr>
              <w:t>(penalty units / $)</w:t>
            </w:r>
          </w:p>
        </w:tc>
        <w:tc>
          <w:tcPr>
            <w:tcW w:w="491" w:type="pct"/>
            <w:shd w:val="clear" w:color="auto" w:fill="B4C6E7" w:themeFill="accent1" w:themeFillTint="66"/>
          </w:tcPr>
          <w:p w14:paraId="41BC928E" w14:textId="7F4EDE94" w:rsidR="00547B72" w:rsidRPr="0044167D" w:rsidRDefault="0094789E" w:rsidP="00630761">
            <w:pPr>
              <w:spacing w:before="0"/>
              <w:jc w:val="center"/>
              <w:rPr>
                <w:b/>
                <w:bCs/>
                <w:sz w:val="22"/>
                <w:szCs w:val="22"/>
                <w:lang w:eastAsia="ja-JP"/>
              </w:rPr>
            </w:pPr>
            <w:r>
              <w:rPr>
                <w:b/>
                <w:bCs/>
                <w:sz w:val="22"/>
                <w:szCs w:val="22"/>
                <w:lang w:eastAsia="ja-JP"/>
              </w:rPr>
              <w:t>New</w:t>
            </w:r>
            <w:r w:rsidR="00547B72" w:rsidRPr="0044167D">
              <w:rPr>
                <w:b/>
                <w:bCs/>
                <w:sz w:val="22"/>
                <w:szCs w:val="22"/>
                <w:lang w:eastAsia="ja-JP"/>
              </w:rPr>
              <w:t xml:space="preserve"> civil penalty</w:t>
            </w:r>
          </w:p>
          <w:p w14:paraId="7A4F2A86" w14:textId="77777777" w:rsidR="00547B72" w:rsidRPr="0044167D" w:rsidRDefault="00547B72" w:rsidP="00630761">
            <w:pPr>
              <w:spacing w:before="0"/>
              <w:jc w:val="center"/>
              <w:rPr>
                <w:b/>
                <w:bCs/>
                <w:sz w:val="22"/>
                <w:szCs w:val="22"/>
                <w:lang w:eastAsia="ja-JP"/>
              </w:rPr>
            </w:pPr>
            <w:r w:rsidRPr="0044167D">
              <w:rPr>
                <w:b/>
                <w:bCs/>
                <w:sz w:val="22"/>
                <w:szCs w:val="22"/>
                <w:lang w:eastAsia="ja-JP"/>
              </w:rPr>
              <w:t>(penalty units / $)</w:t>
            </w:r>
          </w:p>
        </w:tc>
        <w:tc>
          <w:tcPr>
            <w:tcW w:w="588" w:type="pct"/>
            <w:shd w:val="clear" w:color="auto" w:fill="B4C6E7" w:themeFill="accent1" w:themeFillTint="66"/>
          </w:tcPr>
          <w:p w14:paraId="4A1F47D2" w14:textId="77777777" w:rsidR="00547B72" w:rsidRPr="0044167D" w:rsidRDefault="00547B72" w:rsidP="00630761">
            <w:pPr>
              <w:spacing w:before="0"/>
              <w:jc w:val="center"/>
              <w:rPr>
                <w:b/>
                <w:bCs/>
                <w:sz w:val="22"/>
                <w:szCs w:val="22"/>
                <w:lang w:eastAsia="ja-JP"/>
              </w:rPr>
            </w:pPr>
            <w:r w:rsidRPr="0044167D">
              <w:rPr>
                <w:b/>
                <w:bCs/>
                <w:sz w:val="22"/>
                <w:szCs w:val="22"/>
                <w:lang w:eastAsia="ja-JP"/>
              </w:rPr>
              <w:t>Current criminal penalty</w:t>
            </w:r>
          </w:p>
          <w:p w14:paraId="2D1327EB" w14:textId="77777777" w:rsidR="00547B72" w:rsidRPr="0044167D" w:rsidRDefault="00547B72" w:rsidP="00630761">
            <w:pPr>
              <w:spacing w:before="0"/>
              <w:jc w:val="center"/>
              <w:rPr>
                <w:b/>
                <w:bCs/>
                <w:sz w:val="22"/>
                <w:szCs w:val="22"/>
                <w:lang w:eastAsia="ja-JP"/>
              </w:rPr>
            </w:pPr>
            <w:r w:rsidRPr="0044167D">
              <w:rPr>
                <w:b/>
                <w:bCs/>
                <w:sz w:val="22"/>
                <w:szCs w:val="22"/>
                <w:lang w:eastAsia="ja-JP"/>
              </w:rPr>
              <w:t>(fault-based offence)</w:t>
            </w:r>
          </w:p>
          <w:p w14:paraId="52EF3A09" w14:textId="77777777" w:rsidR="00547B72" w:rsidRPr="0044167D" w:rsidRDefault="00547B72" w:rsidP="00630761">
            <w:pPr>
              <w:spacing w:before="0"/>
              <w:jc w:val="center"/>
              <w:rPr>
                <w:b/>
                <w:bCs/>
                <w:sz w:val="22"/>
                <w:szCs w:val="22"/>
                <w:lang w:eastAsia="ja-JP"/>
              </w:rPr>
            </w:pPr>
            <w:r w:rsidRPr="0044167D">
              <w:rPr>
                <w:b/>
                <w:bCs/>
                <w:sz w:val="22"/>
                <w:szCs w:val="22"/>
                <w:lang w:eastAsia="ja-JP"/>
              </w:rPr>
              <w:t>(penalty units / $)</w:t>
            </w:r>
            <w:r w:rsidRPr="0044167D">
              <w:rPr>
                <w:rStyle w:val="FootnoteReference"/>
                <w:b/>
                <w:bCs/>
                <w:sz w:val="22"/>
                <w:szCs w:val="22"/>
                <w:lang w:eastAsia="ja-JP"/>
              </w:rPr>
              <w:footnoteReference w:id="1"/>
            </w:r>
          </w:p>
        </w:tc>
        <w:tc>
          <w:tcPr>
            <w:tcW w:w="588" w:type="pct"/>
            <w:shd w:val="clear" w:color="auto" w:fill="B4C6E7" w:themeFill="accent1" w:themeFillTint="66"/>
          </w:tcPr>
          <w:p w14:paraId="3E92590A" w14:textId="7DD3415C" w:rsidR="00547B72" w:rsidRPr="0044167D" w:rsidRDefault="0094789E" w:rsidP="00630761">
            <w:pPr>
              <w:spacing w:before="0"/>
              <w:jc w:val="center"/>
              <w:rPr>
                <w:b/>
                <w:bCs/>
                <w:sz w:val="22"/>
                <w:szCs w:val="22"/>
                <w:lang w:eastAsia="ja-JP"/>
              </w:rPr>
            </w:pPr>
            <w:r>
              <w:rPr>
                <w:b/>
                <w:bCs/>
                <w:sz w:val="22"/>
                <w:szCs w:val="22"/>
                <w:lang w:eastAsia="ja-JP"/>
              </w:rPr>
              <w:t>New</w:t>
            </w:r>
            <w:r w:rsidR="00547B72" w:rsidRPr="0044167D">
              <w:rPr>
                <w:b/>
                <w:bCs/>
                <w:sz w:val="22"/>
                <w:szCs w:val="22"/>
                <w:lang w:eastAsia="ja-JP"/>
              </w:rPr>
              <w:t xml:space="preserve"> criminal penalty (fault-based offence)</w:t>
            </w:r>
          </w:p>
          <w:p w14:paraId="0F6EB272" w14:textId="77777777" w:rsidR="00547B72" w:rsidRPr="0044167D" w:rsidRDefault="00547B72" w:rsidP="00630761">
            <w:pPr>
              <w:spacing w:before="0"/>
              <w:jc w:val="center"/>
              <w:rPr>
                <w:b/>
                <w:bCs/>
                <w:sz w:val="22"/>
                <w:szCs w:val="22"/>
                <w:lang w:eastAsia="ja-JP"/>
              </w:rPr>
            </w:pPr>
            <w:r w:rsidRPr="0044167D">
              <w:rPr>
                <w:b/>
                <w:bCs/>
                <w:sz w:val="22"/>
                <w:szCs w:val="22"/>
                <w:lang w:eastAsia="ja-JP"/>
              </w:rPr>
              <w:t>(penalty units / $)</w:t>
            </w:r>
            <w:r w:rsidRPr="00E731CB">
              <w:rPr>
                <w:b/>
                <w:bCs/>
                <w:sz w:val="22"/>
                <w:szCs w:val="22"/>
                <w:vertAlign w:val="superscript"/>
                <w:lang w:eastAsia="ja-JP"/>
              </w:rPr>
              <w:t>2</w:t>
            </w:r>
          </w:p>
        </w:tc>
      </w:tr>
      <w:bookmarkEnd w:id="0"/>
      <w:tr w:rsidR="00547B72" w:rsidRPr="0044167D" w14:paraId="3B5E3111" w14:textId="77777777" w:rsidTr="00630761">
        <w:trPr>
          <w:cantSplit/>
          <w:trHeight w:val="560"/>
        </w:trPr>
        <w:tc>
          <w:tcPr>
            <w:tcW w:w="5000" w:type="pct"/>
            <w:gridSpan w:val="7"/>
            <w:shd w:val="clear" w:color="auto" w:fill="D9E2F3" w:themeFill="accent1" w:themeFillTint="33"/>
          </w:tcPr>
          <w:p w14:paraId="0865CB16" w14:textId="77777777" w:rsidR="00547B72" w:rsidRPr="0044167D" w:rsidRDefault="00547B72" w:rsidP="00630761">
            <w:pPr>
              <w:spacing w:before="0"/>
              <w:rPr>
                <w:rFonts w:cstheme="minorHAnsi"/>
                <w:b/>
                <w:bCs/>
                <w:sz w:val="22"/>
                <w:szCs w:val="22"/>
                <w:lang w:eastAsia="ja-JP"/>
              </w:rPr>
            </w:pPr>
            <w:r w:rsidRPr="0044167D">
              <w:rPr>
                <w:rFonts w:cstheme="minorHAnsi"/>
                <w:b/>
                <w:bCs/>
                <w:sz w:val="22"/>
                <w:szCs w:val="22"/>
                <w:lang w:eastAsia="ja-JP"/>
              </w:rPr>
              <w:t>Chapter 2 – Managing biosecurity risks: human health</w:t>
            </w:r>
          </w:p>
          <w:p w14:paraId="442CC6B6" w14:textId="77777777" w:rsidR="00547B72" w:rsidRPr="0044167D" w:rsidRDefault="00547B72" w:rsidP="00630761">
            <w:pPr>
              <w:spacing w:before="0"/>
              <w:rPr>
                <w:rFonts w:cstheme="minorHAnsi"/>
                <w:b/>
                <w:bCs/>
                <w:sz w:val="22"/>
                <w:szCs w:val="22"/>
                <w:lang w:eastAsia="ja-JP"/>
              </w:rPr>
            </w:pPr>
            <w:r w:rsidRPr="0044167D">
              <w:rPr>
                <w:rFonts w:cstheme="minorHAnsi"/>
                <w:b/>
                <w:bCs/>
                <w:sz w:val="22"/>
                <w:szCs w:val="22"/>
                <w:lang w:eastAsia="ja-JP"/>
              </w:rPr>
              <w:t>Part 2—Preventing risk to human health</w:t>
            </w:r>
          </w:p>
          <w:p w14:paraId="04D0050B" w14:textId="77777777" w:rsidR="00547B72" w:rsidRPr="0044167D" w:rsidRDefault="00547B72" w:rsidP="00630761">
            <w:pPr>
              <w:spacing w:before="0" w:line="276" w:lineRule="auto"/>
              <w:rPr>
                <w:sz w:val="22"/>
                <w:szCs w:val="22"/>
                <w:lang w:eastAsia="ja-JP"/>
              </w:rPr>
            </w:pPr>
            <w:r w:rsidRPr="0044167D">
              <w:rPr>
                <w:rFonts w:cstheme="minorHAnsi"/>
                <w:b/>
                <w:bCs/>
                <w:sz w:val="22"/>
                <w:szCs w:val="22"/>
                <w:lang w:eastAsia="ja-JP"/>
              </w:rPr>
              <w:t>Division 4 – Pratique</w:t>
            </w:r>
          </w:p>
        </w:tc>
      </w:tr>
      <w:tr w:rsidR="00547B72" w:rsidRPr="0044167D" w14:paraId="4C5E7A36" w14:textId="77777777" w:rsidTr="00630761">
        <w:trPr>
          <w:cantSplit/>
          <w:trHeight w:val="560"/>
        </w:trPr>
        <w:tc>
          <w:tcPr>
            <w:tcW w:w="440" w:type="pct"/>
            <w:vMerge w:val="restart"/>
            <w:shd w:val="clear" w:color="auto" w:fill="D9E2F3" w:themeFill="accent1" w:themeFillTint="33"/>
          </w:tcPr>
          <w:p w14:paraId="278D2A40" w14:textId="77777777" w:rsidR="00547B72" w:rsidRPr="0044167D" w:rsidRDefault="00547B72" w:rsidP="00630761">
            <w:pPr>
              <w:spacing w:before="0" w:line="276" w:lineRule="auto"/>
              <w:rPr>
                <w:sz w:val="22"/>
                <w:szCs w:val="22"/>
                <w:lang w:eastAsia="ja-JP"/>
              </w:rPr>
            </w:pPr>
            <w:r w:rsidRPr="0044167D">
              <w:rPr>
                <w:sz w:val="22"/>
                <w:szCs w:val="22"/>
                <w:lang w:eastAsia="ja-JP"/>
              </w:rPr>
              <w:t>48 (1)</w:t>
            </w:r>
          </w:p>
        </w:tc>
        <w:tc>
          <w:tcPr>
            <w:tcW w:w="1912" w:type="pct"/>
            <w:vMerge w:val="restart"/>
          </w:tcPr>
          <w:p w14:paraId="6D9AA141" w14:textId="77777777" w:rsidR="00547B72" w:rsidRPr="0044167D" w:rsidRDefault="00547B72" w:rsidP="00630761">
            <w:pPr>
              <w:spacing w:before="0"/>
              <w:rPr>
                <w:sz w:val="22"/>
                <w:szCs w:val="22"/>
              </w:rPr>
            </w:pPr>
            <w:r w:rsidRPr="0044167D">
              <w:rPr>
                <w:sz w:val="22"/>
                <w:szCs w:val="22"/>
              </w:rPr>
              <w:t>The operator, or person in charge, of an incoming aircraft or vessel must not allow anything to be unloaded or loaded, or any person to disembark or embark, the aircraft or vessel unless pratique has been granted</w:t>
            </w:r>
          </w:p>
        </w:tc>
        <w:tc>
          <w:tcPr>
            <w:tcW w:w="540" w:type="pct"/>
          </w:tcPr>
          <w:p w14:paraId="602929CE" w14:textId="77777777" w:rsidR="00547B72" w:rsidRPr="0044167D" w:rsidRDefault="00547B72" w:rsidP="00630761">
            <w:pPr>
              <w:spacing w:before="0" w:line="276" w:lineRule="auto"/>
              <w:jc w:val="center"/>
              <w:rPr>
                <w:sz w:val="22"/>
                <w:szCs w:val="22"/>
              </w:rPr>
            </w:pPr>
            <w:r w:rsidRPr="0044167D">
              <w:rPr>
                <w:sz w:val="22"/>
                <w:szCs w:val="22"/>
              </w:rPr>
              <w:t>48(1)(a) (operator)</w:t>
            </w:r>
          </w:p>
        </w:tc>
        <w:tc>
          <w:tcPr>
            <w:tcW w:w="441" w:type="pct"/>
            <w:shd w:val="clear" w:color="auto" w:fill="D9D9D9" w:themeFill="background1" w:themeFillShade="D9"/>
          </w:tcPr>
          <w:p w14:paraId="2635B2F5" w14:textId="77777777" w:rsidR="00547B72" w:rsidRPr="0044167D" w:rsidRDefault="00547B72" w:rsidP="00630761">
            <w:pPr>
              <w:spacing w:before="0" w:line="276" w:lineRule="auto"/>
              <w:jc w:val="center"/>
              <w:rPr>
                <w:sz w:val="22"/>
                <w:szCs w:val="22"/>
                <w:lang w:eastAsia="ja-JP"/>
              </w:rPr>
            </w:pPr>
            <w:r w:rsidRPr="0044167D">
              <w:rPr>
                <w:sz w:val="22"/>
                <w:szCs w:val="22"/>
                <w:lang w:eastAsia="ja-JP"/>
              </w:rPr>
              <w:t>120 pu</w:t>
            </w:r>
          </w:p>
          <w:p w14:paraId="751F22CA" w14:textId="77777777" w:rsidR="00547B72" w:rsidRPr="0044167D" w:rsidRDefault="00547B72" w:rsidP="00630761">
            <w:pPr>
              <w:spacing w:before="0" w:line="276" w:lineRule="auto"/>
              <w:jc w:val="center"/>
              <w:rPr>
                <w:sz w:val="22"/>
                <w:szCs w:val="22"/>
              </w:rPr>
            </w:pPr>
            <w:r w:rsidRPr="0044167D">
              <w:rPr>
                <w:sz w:val="22"/>
                <w:szCs w:val="22"/>
                <w:lang w:eastAsia="ja-JP"/>
              </w:rPr>
              <w:t>$26,640</w:t>
            </w:r>
          </w:p>
        </w:tc>
        <w:tc>
          <w:tcPr>
            <w:tcW w:w="491" w:type="pct"/>
          </w:tcPr>
          <w:p w14:paraId="46868BA7" w14:textId="77777777" w:rsidR="00547B72" w:rsidRPr="0044167D" w:rsidRDefault="00547B72" w:rsidP="00630761">
            <w:pPr>
              <w:spacing w:before="0" w:line="276" w:lineRule="auto"/>
              <w:jc w:val="center"/>
              <w:rPr>
                <w:sz w:val="22"/>
                <w:szCs w:val="22"/>
                <w:lang w:eastAsia="ja-JP"/>
              </w:rPr>
            </w:pPr>
            <w:r w:rsidRPr="0044167D">
              <w:rPr>
                <w:sz w:val="22"/>
                <w:szCs w:val="22"/>
                <w:lang w:eastAsia="ja-JP"/>
              </w:rPr>
              <w:t>1,000 pu</w:t>
            </w:r>
          </w:p>
          <w:p w14:paraId="32A871A4" w14:textId="77777777" w:rsidR="00547B72" w:rsidRPr="0044167D" w:rsidRDefault="00547B72" w:rsidP="00630761">
            <w:pPr>
              <w:spacing w:before="0" w:line="276" w:lineRule="auto"/>
              <w:jc w:val="center"/>
              <w:rPr>
                <w:sz w:val="22"/>
                <w:szCs w:val="22"/>
                <w:lang w:eastAsia="ja-JP"/>
              </w:rPr>
            </w:pPr>
            <w:r w:rsidRPr="0044167D">
              <w:rPr>
                <w:sz w:val="22"/>
                <w:szCs w:val="22"/>
                <w:lang w:eastAsia="ja-JP"/>
              </w:rPr>
              <w:t>$222,000</w:t>
            </w:r>
          </w:p>
        </w:tc>
        <w:tc>
          <w:tcPr>
            <w:tcW w:w="588" w:type="pct"/>
            <w:shd w:val="clear" w:color="auto" w:fill="D9D9D9" w:themeFill="background1" w:themeFillShade="D9"/>
          </w:tcPr>
          <w:p w14:paraId="031C709B" w14:textId="77777777" w:rsidR="00547B72" w:rsidRPr="0044167D" w:rsidRDefault="00547B72" w:rsidP="00630761">
            <w:pPr>
              <w:spacing w:before="0" w:line="276" w:lineRule="auto"/>
              <w:jc w:val="center"/>
              <w:rPr>
                <w:sz w:val="22"/>
                <w:szCs w:val="22"/>
                <w:lang w:eastAsia="ja-JP"/>
              </w:rPr>
            </w:pPr>
          </w:p>
        </w:tc>
        <w:tc>
          <w:tcPr>
            <w:tcW w:w="588" w:type="pct"/>
          </w:tcPr>
          <w:p w14:paraId="75189D7B" w14:textId="77777777" w:rsidR="00547B72" w:rsidRPr="0044167D" w:rsidRDefault="00547B72" w:rsidP="00630761">
            <w:pPr>
              <w:spacing w:before="0" w:line="276" w:lineRule="auto"/>
              <w:jc w:val="center"/>
              <w:rPr>
                <w:sz w:val="22"/>
                <w:szCs w:val="22"/>
                <w:lang w:eastAsia="ja-JP"/>
              </w:rPr>
            </w:pPr>
          </w:p>
        </w:tc>
      </w:tr>
      <w:tr w:rsidR="00547B72" w:rsidRPr="0044167D" w14:paraId="394190EE" w14:textId="77777777" w:rsidTr="00630761">
        <w:trPr>
          <w:cantSplit/>
          <w:trHeight w:val="560"/>
        </w:trPr>
        <w:tc>
          <w:tcPr>
            <w:tcW w:w="440" w:type="pct"/>
            <w:vMerge/>
            <w:shd w:val="clear" w:color="auto" w:fill="D9E2F3" w:themeFill="accent1" w:themeFillTint="33"/>
          </w:tcPr>
          <w:p w14:paraId="5F834434" w14:textId="77777777" w:rsidR="00547B72" w:rsidRPr="0044167D" w:rsidRDefault="00547B72" w:rsidP="00630761">
            <w:pPr>
              <w:spacing w:before="0" w:line="276" w:lineRule="auto"/>
              <w:rPr>
                <w:sz w:val="22"/>
                <w:szCs w:val="22"/>
                <w:lang w:eastAsia="ja-JP"/>
              </w:rPr>
            </w:pPr>
          </w:p>
        </w:tc>
        <w:tc>
          <w:tcPr>
            <w:tcW w:w="1912" w:type="pct"/>
            <w:vMerge/>
          </w:tcPr>
          <w:p w14:paraId="49DC6FE2" w14:textId="77777777" w:rsidR="00547B72" w:rsidRPr="0044167D" w:rsidRDefault="00547B72" w:rsidP="00630761">
            <w:pPr>
              <w:spacing w:before="0"/>
              <w:rPr>
                <w:sz w:val="22"/>
                <w:szCs w:val="22"/>
              </w:rPr>
            </w:pPr>
          </w:p>
        </w:tc>
        <w:tc>
          <w:tcPr>
            <w:tcW w:w="540" w:type="pct"/>
          </w:tcPr>
          <w:p w14:paraId="28BD07A5" w14:textId="77777777" w:rsidR="00547B72" w:rsidRPr="0044167D" w:rsidRDefault="00547B72" w:rsidP="00630761">
            <w:pPr>
              <w:spacing w:before="0" w:line="276" w:lineRule="auto"/>
              <w:jc w:val="center"/>
              <w:rPr>
                <w:sz w:val="22"/>
                <w:szCs w:val="22"/>
              </w:rPr>
            </w:pPr>
            <w:r w:rsidRPr="0044167D">
              <w:rPr>
                <w:sz w:val="22"/>
                <w:szCs w:val="22"/>
              </w:rPr>
              <w:t>48(1)(b)</w:t>
            </w:r>
          </w:p>
          <w:p w14:paraId="76DB16E9" w14:textId="77777777" w:rsidR="00547B72" w:rsidRPr="0044167D" w:rsidRDefault="00547B72" w:rsidP="00630761">
            <w:pPr>
              <w:spacing w:before="0" w:line="276" w:lineRule="auto"/>
              <w:jc w:val="center"/>
              <w:rPr>
                <w:sz w:val="22"/>
                <w:szCs w:val="22"/>
              </w:rPr>
            </w:pPr>
            <w:r w:rsidRPr="0044167D">
              <w:rPr>
                <w:sz w:val="22"/>
                <w:szCs w:val="22"/>
              </w:rPr>
              <w:t>(person in charge)</w:t>
            </w:r>
          </w:p>
        </w:tc>
        <w:tc>
          <w:tcPr>
            <w:tcW w:w="441" w:type="pct"/>
            <w:shd w:val="clear" w:color="auto" w:fill="D9D9D9" w:themeFill="background1" w:themeFillShade="D9"/>
          </w:tcPr>
          <w:p w14:paraId="4E0ADDE8" w14:textId="77777777" w:rsidR="00547B72" w:rsidRPr="0044167D" w:rsidRDefault="00547B72" w:rsidP="00630761">
            <w:pPr>
              <w:spacing w:before="0" w:line="276" w:lineRule="auto"/>
              <w:jc w:val="center"/>
              <w:rPr>
                <w:sz w:val="22"/>
                <w:szCs w:val="22"/>
              </w:rPr>
            </w:pPr>
          </w:p>
        </w:tc>
        <w:tc>
          <w:tcPr>
            <w:tcW w:w="491" w:type="pct"/>
          </w:tcPr>
          <w:p w14:paraId="11EFF177" w14:textId="77777777" w:rsidR="00547B72" w:rsidRPr="0044167D" w:rsidRDefault="00547B72" w:rsidP="00630761">
            <w:pPr>
              <w:spacing w:before="0" w:line="276" w:lineRule="auto"/>
              <w:jc w:val="center"/>
              <w:rPr>
                <w:sz w:val="22"/>
                <w:szCs w:val="22"/>
                <w:lang w:eastAsia="ja-JP"/>
              </w:rPr>
            </w:pPr>
            <w:r w:rsidRPr="0044167D">
              <w:rPr>
                <w:sz w:val="22"/>
                <w:szCs w:val="22"/>
                <w:lang w:eastAsia="ja-JP"/>
              </w:rPr>
              <w:t>300 pu</w:t>
            </w:r>
          </w:p>
          <w:p w14:paraId="3D0F1016" w14:textId="77777777" w:rsidR="00547B72" w:rsidRPr="0044167D" w:rsidRDefault="00547B72" w:rsidP="00630761">
            <w:pPr>
              <w:spacing w:before="0" w:line="276" w:lineRule="auto"/>
              <w:jc w:val="center"/>
              <w:rPr>
                <w:sz w:val="22"/>
                <w:szCs w:val="22"/>
                <w:lang w:eastAsia="ja-JP"/>
              </w:rPr>
            </w:pPr>
            <w:r w:rsidRPr="0044167D">
              <w:rPr>
                <w:sz w:val="22"/>
                <w:szCs w:val="22"/>
                <w:lang w:eastAsia="ja-JP"/>
              </w:rPr>
              <w:t>$66,600</w:t>
            </w:r>
          </w:p>
        </w:tc>
        <w:tc>
          <w:tcPr>
            <w:tcW w:w="588" w:type="pct"/>
            <w:shd w:val="clear" w:color="auto" w:fill="D9D9D9" w:themeFill="background1" w:themeFillShade="D9"/>
          </w:tcPr>
          <w:p w14:paraId="05E8FC21" w14:textId="77777777" w:rsidR="00547B72" w:rsidRPr="0044167D" w:rsidRDefault="00547B72" w:rsidP="00630761">
            <w:pPr>
              <w:spacing w:before="0" w:line="276" w:lineRule="auto"/>
              <w:jc w:val="center"/>
              <w:rPr>
                <w:sz w:val="22"/>
                <w:szCs w:val="22"/>
                <w:lang w:eastAsia="ja-JP"/>
              </w:rPr>
            </w:pPr>
          </w:p>
        </w:tc>
        <w:tc>
          <w:tcPr>
            <w:tcW w:w="588" w:type="pct"/>
          </w:tcPr>
          <w:p w14:paraId="561D3330" w14:textId="77777777" w:rsidR="00547B72" w:rsidRPr="0044167D" w:rsidRDefault="00547B72" w:rsidP="00630761">
            <w:pPr>
              <w:spacing w:before="0" w:line="276" w:lineRule="auto"/>
              <w:jc w:val="center"/>
              <w:rPr>
                <w:sz w:val="22"/>
                <w:szCs w:val="22"/>
                <w:lang w:eastAsia="ja-JP"/>
              </w:rPr>
            </w:pPr>
          </w:p>
        </w:tc>
      </w:tr>
      <w:tr w:rsidR="00547B72" w:rsidRPr="0044167D" w14:paraId="5DC8272B" w14:textId="77777777" w:rsidTr="00630761">
        <w:trPr>
          <w:cantSplit/>
          <w:trHeight w:val="790"/>
        </w:trPr>
        <w:tc>
          <w:tcPr>
            <w:tcW w:w="5000" w:type="pct"/>
            <w:gridSpan w:val="7"/>
            <w:shd w:val="clear" w:color="auto" w:fill="D9E2F3" w:themeFill="accent1" w:themeFillTint="33"/>
          </w:tcPr>
          <w:p w14:paraId="2361C1CB" w14:textId="77777777" w:rsidR="00547B72" w:rsidRPr="0044167D" w:rsidRDefault="00547B72" w:rsidP="00630761">
            <w:pPr>
              <w:spacing w:before="0"/>
              <w:rPr>
                <w:rFonts w:cstheme="minorHAnsi"/>
                <w:b/>
                <w:bCs/>
                <w:sz w:val="22"/>
                <w:szCs w:val="22"/>
                <w:lang w:eastAsia="ja-JP"/>
              </w:rPr>
            </w:pPr>
            <w:r w:rsidRPr="0044167D">
              <w:rPr>
                <w:rFonts w:cstheme="minorHAnsi"/>
                <w:b/>
                <w:bCs/>
                <w:sz w:val="22"/>
                <w:szCs w:val="22"/>
                <w:lang w:eastAsia="ja-JP"/>
              </w:rPr>
              <w:t>Chapter 4 – Managing biosecurity risks: conveyances</w:t>
            </w:r>
          </w:p>
          <w:p w14:paraId="78545F96" w14:textId="77777777" w:rsidR="00547B72" w:rsidRPr="0044167D" w:rsidRDefault="00547B72" w:rsidP="00630761">
            <w:pPr>
              <w:spacing w:before="0"/>
              <w:rPr>
                <w:rFonts w:cstheme="minorHAnsi"/>
                <w:b/>
                <w:bCs/>
                <w:sz w:val="22"/>
                <w:szCs w:val="22"/>
                <w:lang w:eastAsia="ja-JP"/>
              </w:rPr>
            </w:pPr>
            <w:r w:rsidRPr="0044167D">
              <w:rPr>
                <w:rFonts w:cstheme="minorHAnsi"/>
                <w:b/>
                <w:bCs/>
                <w:sz w:val="22"/>
                <w:szCs w:val="22"/>
                <w:lang w:eastAsia="ja-JP"/>
              </w:rPr>
              <w:t>Part 2—Conveyances entering Australian territory etc</w:t>
            </w:r>
          </w:p>
          <w:p w14:paraId="57E3EB56" w14:textId="77777777" w:rsidR="00547B72" w:rsidRPr="0044167D" w:rsidRDefault="00547B72" w:rsidP="00630761">
            <w:pPr>
              <w:spacing w:before="0"/>
              <w:rPr>
                <w:sz w:val="22"/>
                <w:szCs w:val="22"/>
                <w:lang w:eastAsia="ja-JP"/>
              </w:rPr>
            </w:pPr>
            <w:r w:rsidRPr="0044167D">
              <w:rPr>
                <w:rFonts w:cstheme="minorHAnsi"/>
                <w:b/>
                <w:bCs/>
                <w:sz w:val="22"/>
                <w:szCs w:val="22"/>
                <w:lang w:eastAsia="ja-JP"/>
              </w:rPr>
              <w:t>Division 3 – Pre-Arrival reporting</w:t>
            </w:r>
            <w:r>
              <w:rPr>
                <w:rFonts w:cstheme="minorHAnsi"/>
                <w:b/>
                <w:bCs/>
                <w:sz w:val="22"/>
                <w:szCs w:val="22"/>
                <w:lang w:eastAsia="ja-JP"/>
              </w:rPr>
              <w:t xml:space="preserve"> etc</w:t>
            </w:r>
          </w:p>
        </w:tc>
      </w:tr>
      <w:tr w:rsidR="00547B72" w:rsidRPr="0044167D" w14:paraId="1F86335C" w14:textId="77777777" w:rsidTr="00630761">
        <w:trPr>
          <w:cantSplit/>
          <w:trHeight w:val="560"/>
        </w:trPr>
        <w:tc>
          <w:tcPr>
            <w:tcW w:w="440" w:type="pct"/>
            <w:shd w:val="clear" w:color="auto" w:fill="D9E2F3" w:themeFill="accent1" w:themeFillTint="33"/>
          </w:tcPr>
          <w:p w14:paraId="62939029" w14:textId="77777777" w:rsidR="00547B72" w:rsidRPr="0044167D" w:rsidRDefault="00547B72" w:rsidP="00630761">
            <w:pPr>
              <w:spacing w:before="0"/>
              <w:rPr>
                <w:sz w:val="22"/>
                <w:szCs w:val="22"/>
                <w:lang w:eastAsia="ja-JP"/>
              </w:rPr>
            </w:pPr>
            <w:r w:rsidRPr="0044167D">
              <w:rPr>
                <w:sz w:val="22"/>
                <w:szCs w:val="22"/>
                <w:lang w:eastAsia="ja-JP"/>
              </w:rPr>
              <w:t>193</w:t>
            </w:r>
          </w:p>
        </w:tc>
        <w:tc>
          <w:tcPr>
            <w:tcW w:w="1912" w:type="pct"/>
            <w:vMerge w:val="restart"/>
          </w:tcPr>
          <w:p w14:paraId="520E522E" w14:textId="77777777" w:rsidR="00547B72" w:rsidRPr="0044167D" w:rsidRDefault="00547B72" w:rsidP="00630761">
            <w:pPr>
              <w:spacing w:before="0"/>
              <w:rPr>
                <w:sz w:val="22"/>
                <w:szCs w:val="22"/>
              </w:rPr>
            </w:pPr>
            <w:r w:rsidRPr="0044167D">
              <w:rPr>
                <w:sz w:val="22"/>
                <w:szCs w:val="22"/>
              </w:rPr>
              <w:t>The operator of an aircraft or vessel required to give a</w:t>
            </w:r>
            <w:r>
              <w:rPr>
                <w:sz w:val="22"/>
                <w:szCs w:val="22"/>
              </w:rPr>
              <w:t>n</w:t>
            </w:r>
            <w:r w:rsidRPr="0044167D">
              <w:rPr>
                <w:sz w:val="22"/>
                <w:szCs w:val="22"/>
              </w:rPr>
              <w:t xml:space="preserve"> </w:t>
            </w:r>
            <w:r>
              <w:rPr>
                <w:sz w:val="22"/>
                <w:szCs w:val="22"/>
              </w:rPr>
              <w:t xml:space="preserve">initial </w:t>
            </w:r>
            <w:r w:rsidRPr="0044167D">
              <w:rPr>
                <w:sz w:val="22"/>
                <w:szCs w:val="22"/>
              </w:rPr>
              <w:t xml:space="preserve">pre-arrival report under s193(1) </w:t>
            </w:r>
            <w:r>
              <w:rPr>
                <w:sz w:val="22"/>
                <w:szCs w:val="22"/>
              </w:rPr>
              <w:t xml:space="preserve">or other report under s193(1A) </w:t>
            </w:r>
            <w:r w:rsidRPr="0044167D">
              <w:rPr>
                <w:sz w:val="22"/>
                <w:szCs w:val="22"/>
              </w:rPr>
              <w:t>must give the report in accordance with s193(2)</w:t>
            </w:r>
          </w:p>
        </w:tc>
        <w:tc>
          <w:tcPr>
            <w:tcW w:w="540" w:type="pct"/>
          </w:tcPr>
          <w:p w14:paraId="0A738E06" w14:textId="77777777" w:rsidR="00547B72" w:rsidRPr="0044167D" w:rsidRDefault="00547B72" w:rsidP="00630761">
            <w:pPr>
              <w:spacing w:before="0"/>
              <w:jc w:val="center"/>
              <w:rPr>
                <w:sz w:val="22"/>
                <w:szCs w:val="22"/>
              </w:rPr>
            </w:pPr>
            <w:r w:rsidRPr="0044167D">
              <w:rPr>
                <w:sz w:val="22"/>
                <w:szCs w:val="22"/>
              </w:rPr>
              <w:t>193(5)</w:t>
            </w:r>
          </w:p>
        </w:tc>
        <w:tc>
          <w:tcPr>
            <w:tcW w:w="441" w:type="pct"/>
            <w:shd w:val="clear" w:color="auto" w:fill="D9D9D9" w:themeFill="background1" w:themeFillShade="D9"/>
          </w:tcPr>
          <w:p w14:paraId="0E1C3175" w14:textId="77777777" w:rsidR="00547B72" w:rsidRPr="0044167D" w:rsidRDefault="00547B72" w:rsidP="00630761">
            <w:pPr>
              <w:spacing w:before="0"/>
              <w:jc w:val="center"/>
              <w:rPr>
                <w:sz w:val="22"/>
                <w:szCs w:val="22"/>
              </w:rPr>
            </w:pPr>
          </w:p>
        </w:tc>
        <w:tc>
          <w:tcPr>
            <w:tcW w:w="491" w:type="pct"/>
          </w:tcPr>
          <w:p w14:paraId="6AA20E99" w14:textId="77777777" w:rsidR="00547B72" w:rsidRPr="0044167D" w:rsidRDefault="00547B72" w:rsidP="00630761">
            <w:pPr>
              <w:spacing w:before="0"/>
              <w:jc w:val="center"/>
              <w:rPr>
                <w:sz w:val="22"/>
                <w:szCs w:val="22"/>
                <w:lang w:eastAsia="ja-JP"/>
              </w:rPr>
            </w:pPr>
          </w:p>
        </w:tc>
        <w:tc>
          <w:tcPr>
            <w:tcW w:w="588" w:type="pct"/>
            <w:shd w:val="clear" w:color="auto" w:fill="D9D9D9" w:themeFill="background1" w:themeFillShade="D9"/>
          </w:tcPr>
          <w:p w14:paraId="6616ED27" w14:textId="77777777" w:rsidR="00547B72" w:rsidRPr="0044167D" w:rsidRDefault="00547B72" w:rsidP="00630761">
            <w:pPr>
              <w:spacing w:before="0"/>
              <w:jc w:val="center"/>
              <w:rPr>
                <w:sz w:val="22"/>
                <w:szCs w:val="22"/>
                <w:lang w:eastAsia="ja-JP"/>
              </w:rPr>
            </w:pPr>
            <w:r w:rsidRPr="0044167D">
              <w:rPr>
                <w:sz w:val="22"/>
                <w:szCs w:val="22"/>
                <w:lang w:eastAsia="ja-JP"/>
              </w:rPr>
              <w:t xml:space="preserve">120 pu </w:t>
            </w:r>
            <w:r w:rsidRPr="0044167D">
              <w:rPr>
                <w:sz w:val="22"/>
                <w:szCs w:val="22"/>
                <w:vertAlign w:val="superscript"/>
                <w:lang w:eastAsia="ja-JP"/>
              </w:rPr>
              <w:t>1</w:t>
            </w:r>
          </w:p>
          <w:p w14:paraId="1894EEC0" w14:textId="77777777" w:rsidR="00547B72" w:rsidRPr="0044167D" w:rsidRDefault="00547B72" w:rsidP="00630761">
            <w:pPr>
              <w:spacing w:before="0"/>
              <w:jc w:val="center"/>
              <w:rPr>
                <w:sz w:val="22"/>
                <w:szCs w:val="22"/>
                <w:lang w:eastAsia="ja-JP"/>
              </w:rPr>
            </w:pPr>
            <w:r w:rsidRPr="0044167D">
              <w:rPr>
                <w:sz w:val="22"/>
                <w:szCs w:val="22"/>
                <w:lang w:eastAsia="ja-JP"/>
              </w:rPr>
              <w:t>$26,640</w:t>
            </w:r>
          </w:p>
        </w:tc>
        <w:tc>
          <w:tcPr>
            <w:tcW w:w="588" w:type="pct"/>
          </w:tcPr>
          <w:p w14:paraId="2497FFB6" w14:textId="77777777" w:rsidR="00547B72" w:rsidRPr="0044167D" w:rsidRDefault="00547B72" w:rsidP="00630761">
            <w:pPr>
              <w:spacing w:before="0"/>
              <w:jc w:val="center"/>
              <w:rPr>
                <w:sz w:val="22"/>
                <w:szCs w:val="22"/>
                <w:lang w:eastAsia="ja-JP"/>
              </w:rPr>
            </w:pPr>
            <w:r w:rsidRPr="0044167D">
              <w:rPr>
                <w:sz w:val="22"/>
                <w:szCs w:val="22"/>
                <w:lang w:eastAsia="ja-JP"/>
              </w:rPr>
              <w:t xml:space="preserve">1,000 pu </w:t>
            </w:r>
            <w:r w:rsidRPr="0044167D">
              <w:rPr>
                <w:rStyle w:val="FootnoteReference"/>
                <w:sz w:val="22"/>
                <w:szCs w:val="22"/>
                <w:lang w:eastAsia="ja-JP"/>
              </w:rPr>
              <w:footnoteReference w:id="2"/>
            </w:r>
          </w:p>
          <w:p w14:paraId="7639B94A" w14:textId="77777777" w:rsidR="00547B72" w:rsidRPr="0044167D" w:rsidRDefault="00547B72" w:rsidP="00630761">
            <w:pPr>
              <w:spacing w:before="0"/>
              <w:jc w:val="center"/>
              <w:rPr>
                <w:sz w:val="22"/>
                <w:szCs w:val="22"/>
                <w:lang w:eastAsia="ja-JP"/>
              </w:rPr>
            </w:pPr>
            <w:r w:rsidRPr="0044167D">
              <w:rPr>
                <w:sz w:val="22"/>
                <w:szCs w:val="22"/>
                <w:lang w:eastAsia="ja-JP"/>
              </w:rPr>
              <w:t>222,200</w:t>
            </w:r>
          </w:p>
        </w:tc>
      </w:tr>
      <w:tr w:rsidR="00547B72" w:rsidRPr="0044167D" w14:paraId="6DA42C88" w14:textId="77777777" w:rsidTr="00630761">
        <w:trPr>
          <w:cantSplit/>
          <w:trHeight w:val="560"/>
        </w:trPr>
        <w:tc>
          <w:tcPr>
            <w:tcW w:w="440" w:type="pct"/>
            <w:shd w:val="clear" w:color="auto" w:fill="D9E2F3" w:themeFill="accent1" w:themeFillTint="33"/>
          </w:tcPr>
          <w:p w14:paraId="7A6D246A" w14:textId="77777777" w:rsidR="00547B72" w:rsidRPr="0044167D" w:rsidRDefault="00547B72" w:rsidP="00630761">
            <w:pPr>
              <w:spacing w:before="0"/>
              <w:rPr>
                <w:sz w:val="22"/>
                <w:szCs w:val="22"/>
                <w:lang w:eastAsia="ja-JP"/>
              </w:rPr>
            </w:pPr>
            <w:r w:rsidRPr="0044167D">
              <w:rPr>
                <w:sz w:val="22"/>
                <w:szCs w:val="22"/>
                <w:lang w:eastAsia="ja-JP"/>
              </w:rPr>
              <w:t>193</w:t>
            </w:r>
          </w:p>
        </w:tc>
        <w:tc>
          <w:tcPr>
            <w:tcW w:w="1912" w:type="pct"/>
            <w:vMerge/>
          </w:tcPr>
          <w:p w14:paraId="481AE819" w14:textId="77777777" w:rsidR="00547B72" w:rsidRPr="0044167D" w:rsidRDefault="00547B72" w:rsidP="00630761">
            <w:pPr>
              <w:spacing w:before="0"/>
              <w:rPr>
                <w:sz w:val="22"/>
                <w:szCs w:val="22"/>
              </w:rPr>
            </w:pPr>
          </w:p>
        </w:tc>
        <w:tc>
          <w:tcPr>
            <w:tcW w:w="540" w:type="pct"/>
          </w:tcPr>
          <w:p w14:paraId="4B46EF02" w14:textId="77777777" w:rsidR="00547B72" w:rsidRPr="0044167D" w:rsidRDefault="00547B72" w:rsidP="00630761">
            <w:pPr>
              <w:spacing w:before="0"/>
              <w:jc w:val="center"/>
              <w:rPr>
                <w:sz w:val="22"/>
                <w:szCs w:val="22"/>
              </w:rPr>
            </w:pPr>
            <w:r w:rsidRPr="0044167D">
              <w:rPr>
                <w:sz w:val="22"/>
                <w:szCs w:val="22"/>
              </w:rPr>
              <w:t>193(6)</w:t>
            </w:r>
          </w:p>
        </w:tc>
        <w:tc>
          <w:tcPr>
            <w:tcW w:w="441" w:type="pct"/>
            <w:shd w:val="clear" w:color="auto" w:fill="D9D9D9" w:themeFill="background1" w:themeFillShade="D9"/>
          </w:tcPr>
          <w:p w14:paraId="7B4BF717" w14:textId="77777777" w:rsidR="00547B72" w:rsidRPr="0044167D" w:rsidRDefault="00547B72" w:rsidP="00630761">
            <w:pPr>
              <w:spacing w:before="0"/>
              <w:jc w:val="center"/>
              <w:rPr>
                <w:sz w:val="22"/>
                <w:szCs w:val="22"/>
              </w:rPr>
            </w:pPr>
            <w:r w:rsidRPr="0044167D">
              <w:rPr>
                <w:sz w:val="22"/>
                <w:szCs w:val="22"/>
              </w:rPr>
              <w:t>120 pu</w:t>
            </w:r>
            <w:r w:rsidRPr="0044167D">
              <w:rPr>
                <w:sz w:val="22"/>
                <w:szCs w:val="22"/>
              </w:rPr>
              <w:br/>
              <w:t>$26,640</w:t>
            </w:r>
          </w:p>
        </w:tc>
        <w:tc>
          <w:tcPr>
            <w:tcW w:w="491" w:type="pct"/>
          </w:tcPr>
          <w:p w14:paraId="2C53259E" w14:textId="77777777" w:rsidR="00547B72" w:rsidRPr="0044167D" w:rsidRDefault="00547B72" w:rsidP="00630761">
            <w:pPr>
              <w:spacing w:before="0"/>
              <w:jc w:val="center"/>
              <w:rPr>
                <w:sz w:val="22"/>
                <w:szCs w:val="22"/>
                <w:lang w:eastAsia="ja-JP"/>
              </w:rPr>
            </w:pPr>
            <w:r w:rsidRPr="0044167D">
              <w:rPr>
                <w:sz w:val="22"/>
                <w:szCs w:val="22"/>
                <w:lang w:eastAsia="ja-JP"/>
              </w:rPr>
              <w:t>1,000 pu</w:t>
            </w:r>
          </w:p>
          <w:p w14:paraId="0CD6E668" w14:textId="77777777" w:rsidR="00547B72" w:rsidRPr="0044167D" w:rsidRDefault="00547B72" w:rsidP="00630761">
            <w:pPr>
              <w:spacing w:before="0"/>
              <w:jc w:val="center"/>
              <w:rPr>
                <w:sz w:val="22"/>
                <w:szCs w:val="22"/>
                <w:lang w:eastAsia="ja-JP"/>
              </w:rPr>
            </w:pPr>
            <w:r w:rsidRPr="0044167D">
              <w:rPr>
                <w:sz w:val="22"/>
                <w:szCs w:val="22"/>
                <w:lang w:eastAsia="ja-JP"/>
              </w:rPr>
              <w:t>$222,200</w:t>
            </w:r>
          </w:p>
        </w:tc>
        <w:tc>
          <w:tcPr>
            <w:tcW w:w="588" w:type="pct"/>
            <w:shd w:val="clear" w:color="auto" w:fill="D9D9D9" w:themeFill="background1" w:themeFillShade="D9"/>
          </w:tcPr>
          <w:p w14:paraId="2B51EC9D" w14:textId="77777777" w:rsidR="00547B72" w:rsidRPr="0044167D" w:rsidRDefault="00547B72" w:rsidP="00630761">
            <w:pPr>
              <w:spacing w:before="0"/>
              <w:jc w:val="center"/>
              <w:rPr>
                <w:sz w:val="22"/>
                <w:szCs w:val="22"/>
                <w:lang w:eastAsia="ja-JP"/>
              </w:rPr>
            </w:pPr>
          </w:p>
        </w:tc>
        <w:tc>
          <w:tcPr>
            <w:tcW w:w="588" w:type="pct"/>
          </w:tcPr>
          <w:p w14:paraId="00EF0BCB" w14:textId="77777777" w:rsidR="00547B72" w:rsidRPr="0044167D" w:rsidRDefault="00547B72" w:rsidP="00630761">
            <w:pPr>
              <w:spacing w:before="0"/>
              <w:jc w:val="center"/>
              <w:rPr>
                <w:sz w:val="22"/>
                <w:szCs w:val="22"/>
                <w:lang w:eastAsia="ja-JP"/>
              </w:rPr>
            </w:pPr>
          </w:p>
        </w:tc>
      </w:tr>
      <w:tr w:rsidR="00547B72" w:rsidRPr="0044167D" w14:paraId="5156A654" w14:textId="77777777" w:rsidTr="00630761">
        <w:trPr>
          <w:cantSplit/>
          <w:trHeight w:val="560"/>
        </w:trPr>
        <w:tc>
          <w:tcPr>
            <w:tcW w:w="440" w:type="pct"/>
            <w:vMerge w:val="restart"/>
            <w:shd w:val="clear" w:color="auto" w:fill="D9E2F3" w:themeFill="accent1" w:themeFillTint="33"/>
          </w:tcPr>
          <w:p w14:paraId="4E4D49AE" w14:textId="77777777" w:rsidR="00547B72" w:rsidRPr="0044167D" w:rsidRDefault="00547B72" w:rsidP="00630761">
            <w:pPr>
              <w:spacing w:before="0"/>
              <w:rPr>
                <w:sz w:val="22"/>
                <w:szCs w:val="22"/>
                <w:lang w:eastAsia="ja-JP"/>
              </w:rPr>
            </w:pPr>
            <w:r w:rsidRPr="0044167D">
              <w:rPr>
                <w:sz w:val="22"/>
                <w:szCs w:val="22"/>
                <w:lang w:eastAsia="ja-JP"/>
              </w:rPr>
              <w:t>194</w:t>
            </w:r>
          </w:p>
        </w:tc>
        <w:tc>
          <w:tcPr>
            <w:tcW w:w="1912" w:type="pct"/>
            <w:vMerge w:val="restart"/>
          </w:tcPr>
          <w:p w14:paraId="0610695D" w14:textId="77777777" w:rsidR="00547B72" w:rsidRPr="0044167D" w:rsidRDefault="00547B72" w:rsidP="00630761">
            <w:pPr>
              <w:spacing w:before="0"/>
              <w:rPr>
                <w:sz w:val="22"/>
                <w:szCs w:val="22"/>
              </w:rPr>
            </w:pPr>
            <w:r w:rsidRPr="0044167D">
              <w:rPr>
                <w:sz w:val="22"/>
                <w:szCs w:val="22"/>
              </w:rPr>
              <w:t xml:space="preserve">The operator of an aircraft or vessel required to give additional or corrected pre-arrival reporting information to a biosecurity officer under s194(1) </w:t>
            </w:r>
            <w:r>
              <w:rPr>
                <w:sz w:val="22"/>
                <w:szCs w:val="22"/>
              </w:rPr>
              <w:t xml:space="preserve">or further information under s194(1A) </w:t>
            </w:r>
            <w:r w:rsidRPr="0044167D">
              <w:rPr>
                <w:sz w:val="22"/>
                <w:szCs w:val="22"/>
              </w:rPr>
              <w:t xml:space="preserve">must give the information as required </w:t>
            </w:r>
          </w:p>
        </w:tc>
        <w:tc>
          <w:tcPr>
            <w:tcW w:w="540" w:type="pct"/>
          </w:tcPr>
          <w:p w14:paraId="3EA6BD66" w14:textId="77777777" w:rsidR="00547B72" w:rsidRPr="0044167D" w:rsidRDefault="00547B72" w:rsidP="00630761">
            <w:pPr>
              <w:spacing w:before="0"/>
              <w:jc w:val="center"/>
              <w:rPr>
                <w:sz w:val="22"/>
                <w:szCs w:val="22"/>
              </w:rPr>
            </w:pPr>
            <w:r w:rsidRPr="0044167D">
              <w:rPr>
                <w:sz w:val="22"/>
                <w:szCs w:val="22"/>
              </w:rPr>
              <w:t>194(3)</w:t>
            </w:r>
          </w:p>
        </w:tc>
        <w:tc>
          <w:tcPr>
            <w:tcW w:w="441" w:type="pct"/>
            <w:shd w:val="clear" w:color="auto" w:fill="D9D9D9" w:themeFill="background1" w:themeFillShade="D9"/>
          </w:tcPr>
          <w:p w14:paraId="1DBCB6C4" w14:textId="77777777" w:rsidR="00547B72" w:rsidRPr="0044167D" w:rsidRDefault="00547B72" w:rsidP="00630761">
            <w:pPr>
              <w:spacing w:before="0"/>
              <w:jc w:val="center"/>
              <w:rPr>
                <w:sz w:val="22"/>
                <w:szCs w:val="22"/>
              </w:rPr>
            </w:pPr>
          </w:p>
        </w:tc>
        <w:tc>
          <w:tcPr>
            <w:tcW w:w="491" w:type="pct"/>
          </w:tcPr>
          <w:p w14:paraId="6BBC4655" w14:textId="77777777" w:rsidR="00547B72" w:rsidRPr="0044167D" w:rsidRDefault="00547B72" w:rsidP="00630761">
            <w:pPr>
              <w:spacing w:before="0"/>
              <w:jc w:val="center"/>
              <w:rPr>
                <w:sz w:val="22"/>
                <w:szCs w:val="22"/>
                <w:lang w:eastAsia="ja-JP"/>
              </w:rPr>
            </w:pPr>
          </w:p>
        </w:tc>
        <w:tc>
          <w:tcPr>
            <w:tcW w:w="588" w:type="pct"/>
            <w:shd w:val="clear" w:color="auto" w:fill="D9D9D9" w:themeFill="background1" w:themeFillShade="D9"/>
          </w:tcPr>
          <w:p w14:paraId="30E30F82" w14:textId="77777777" w:rsidR="00547B72" w:rsidRPr="0044167D" w:rsidRDefault="00547B72" w:rsidP="00630761">
            <w:pPr>
              <w:jc w:val="center"/>
              <w:rPr>
                <w:sz w:val="22"/>
                <w:szCs w:val="22"/>
              </w:rPr>
            </w:pPr>
            <w:r w:rsidRPr="0044167D">
              <w:rPr>
                <w:sz w:val="22"/>
                <w:szCs w:val="22"/>
              </w:rPr>
              <w:t>120 pu</w:t>
            </w:r>
          </w:p>
          <w:p w14:paraId="11D6C5F9" w14:textId="77777777" w:rsidR="00547B72" w:rsidRPr="0044167D" w:rsidRDefault="00547B72" w:rsidP="00630761">
            <w:pPr>
              <w:spacing w:before="0"/>
              <w:jc w:val="center"/>
              <w:rPr>
                <w:sz w:val="22"/>
                <w:szCs w:val="22"/>
                <w:lang w:eastAsia="ja-JP"/>
              </w:rPr>
            </w:pPr>
            <w:r w:rsidRPr="0044167D">
              <w:rPr>
                <w:sz w:val="22"/>
                <w:szCs w:val="22"/>
                <w:lang w:eastAsia="ja-JP"/>
              </w:rPr>
              <w:t>$26,640</w:t>
            </w:r>
          </w:p>
        </w:tc>
        <w:tc>
          <w:tcPr>
            <w:tcW w:w="588" w:type="pct"/>
          </w:tcPr>
          <w:p w14:paraId="77758977" w14:textId="77777777" w:rsidR="00547B72" w:rsidRPr="0044167D" w:rsidRDefault="00547B72" w:rsidP="00630761">
            <w:pPr>
              <w:jc w:val="center"/>
              <w:rPr>
                <w:sz w:val="22"/>
                <w:szCs w:val="22"/>
                <w:lang w:eastAsia="ja-JP"/>
              </w:rPr>
            </w:pPr>
            <w:r w:rsidRPr="0044167D">
              <w:rPr>
                <w:sz w:val="22"/>
                <w:szCs w:val="22"/>
                <w:lang w:eastAsia="ja-JP"/>
              </w:rPr>
              <w:t xml:space="preserve">1000 pu </w:t>
            </w:r>
            <w:r w:rsidRPr="0044167D">
              <w:rPr>
                <w:sz w:val="22"/>
                <w:szCs w:val="22"/>
                <w:vertAlign w:val="superscript"/>
              </w:rPr>
              <w:t>2</w:t>
            </w:r>
          </w:p>
          <w:p w14:paraId="73279A48" w14:textId="77777777" w:rsidR="00547B72" w:rsidRPr="0044167D" w:rsidRDefault="00547B72" w:rsidP="00630761">
            <w:pPr>
              <w:spacing w:before="0"/>
              <w:jc w:val="center"/>
              <w:rPr>
                <w:sz w:val="22"/>
                <w:szCs w:val="22"/>
                <w:lang w:eastAsia="ja-JP"/>
              </w:rPr>
            </w:pPr>
            <w:r w:rsidRPr="0044167D">
              <w:rPr>
                <w:sz w:val="22"/>
                <w:szCs w:val="22"/>
                <w:lang w:eastAsia="ja-JP"/>
              </w:rPr>
              <w:t>$222,000</w:t>
            </w:r>
          </w:p>
        </w:tc>
      </w:tr>
      <w:tr w:rsidR="00547B72" w:rsidRPr="0044167D" w14:paraId="429D1544" w14:textId="77777777" w:rsidTr="00630761">
        <w:trPr>
          <w:cantSplit/>
          <w:trHeight w:val="560"/>
        </w:trPr>
        <w:tc>
          <w:tcPr>
            <w:tcW w:w="440" w:type="pct"/>
            <w:vMerge/>
            <w:shd w:val="clear" w:color="auto" w:fill="D9E2F3" w:themeFill="accent1" w:themeFillTint="33"/>
          </w:tcPr>
          <w:p w14:paraId="0437CD32" w14:textId="77777777" w:rsidR="00547B72" w:rsidRPr="0044167D" w:rsidRDefault="00547B72" w:rsidP="00630761">
            <w:pPr>
              <w:spacing w:before="0"/>
              <w:rPr>
                <w:sz w:val="22"/>
                <w:szCs w:val="22"/>
                <w:lang w:eastAsia="ja-JP"/>
              </w:rPr>
            </w:pPr>
          </w:p>
        </w:tc>
        <w:tc>
          <w:tcPr>
            <w:tcW w:w="1912" w:type="pct"/>
            <w:vMerge/>
          </w:tcPr>
          <w:p w14:paraId="6BC7A11F" w14:textId="77777777" w:rsidR="00547B72" w:rsidRPr="0044167D" w:rsidRDefault="00547B72" w:rsidP="00630761">
            <w:pPr>
              <w:spacing w:before="0"/>
              <w:rPr>
                <w:sz w:val="22"/>
                <w:szCs w:val="22"/>
              </w:rPr>
            </w:pPr>
          </w:p>
        </w:tc>
        <w:tc>
          <w:tcPr>
            <w:tcW w:w="540" w:type="pct"/>
          </w:tcPr>
          <w:p w14:paraId="647D17AC" w14:textId="77777777" w:rsidR="00547B72" w:rsidRPr="0044167D" w:rsidRDefault="00547B72" w:rsidP="00630761">
            <w:pPr>
              <w:spacing w:before="0"/>
              <w:jc w:val="center"/>
              <w:rPr>
                <w:sz w:val="22"/>
                <w:szCs w:val="22"/>
              </w:rPr>
            </w:pPr>
            <w:r w:rsidRPr="0044167D">
              <w:rPr>
                <w:sz w:val="22"/>
                <w:szCs w:val="22"/>
              </w:rPr>
              <w:t>194(4)</w:t>
            </w:r>
          </w:p>
        </w:tc>
        <w:tc>
          <w:tcPr>
            <w:tcW w:w="441" w:type="pct"/>
            <w:shd w:val="clear" w:color="auto" w:fill="D9D9D9" w:themeFill="background1" w:themeFillShade="D9"/>
          </w:tcPr>
          <w:p w14:paraId="2E02139A" w14:textId="77777777" w:rsidR="00547B72" w:rsidRPr="0044167D" w:rsidRDefault="00547B72" w:rsidP="00630761">
            <w:pPr>
              <w:jc w:val="center"/>
              <w:rPr>
                <w:sz w:val="22"/>
                <w:szCs w:val="22"/>
              </w:rPr>
            </w:pPr>
            <w:r w:rsidRPr="0044167D">
              <w:rPr>
                <w:sz w:val="22"/>
                <w:szCs w:val="22"/>
              </w:rPr>
              <w:t>120 pu</w:t>
            </w:r>
          </w:p>
          <w:p w14:paraId="20B6C6ED" w14:textId="77777777" w:rsidR="00547B72" w:rsidRPr="0044167D" w:rsidRDefault="00547B72" w:rsidP="00630761">
            <w:pPr>
              <w:spacing w:before="0"/>
              <w:jc w:val="center"/>
              <w:rPr>
                <w:sz w:val="22"/>
                <w:szCs w:val="22"/>
              </w:rPr>
            </w:pPr>
            <w:r w:rsidRPr="0044167D">
              <w:rPr>
                <w:sz w:val="22"/>
                <w:szCs w:val="22"/>
                <w:lang w:eastAsia="ja-JP"/>
              </w:rPr>
              <w:t>$26,640</w:t>
            </w:r>
          </w:p>
        </w:tc>
        <w:tc>
          <w:tcPr>
            <w:tcW w:w="491" w:type="pct"/>
          </w:tcPr>
          <w:p w14:paraId="1EFA2C9E" w14:textId="77777777" w:rsidR="00547B72" w:rsidRPr="0044167D" w:rsidRDefault="00547B72" w:rsidP="00630761">
            <w:pPr>
              <w:jc w:val="center"/>
              <w:rPr>
                <w:sz w:val="22"/>
                <w:szCs w:val="22"/>
                <w:lang w:eastAsia="ja-JP"/>
              </w:rPr>
            </w:pPr>
            <w:r w:rsidRPr="0044167D">
              <w:rPr>
                <w:sz w:val="22"/>
                <w:szCs w:val="22"/>
                <w:lang w:eastAsia="ja-JP"/>
              </w:rPr>
              <w:t>1000 pu</w:t>
            </w:r>
          </w:p>
          <w:p w14:paraId="7E8E7DEA" w14:textId="77777777" w:rsidR="00547B72" w:rsidRPr="0044167D" w:rsidRDefault="00547B72" w:rsidP="00630761">
            <w:pPr>
              <w:spacing w:before="0"/>
              <w:jc w:val="center"/>
              <w:rPr>
                <w:sz w:val="22"/>
                <w:szCs w:val="22"/>
                <w:lang w:eastAsia="ja-JP"/>
              </w:rPr>
            </w:pPr>
            <w:r w:rsidRPr="0044167D">
              <w:rPr>
                <w:sz w:val="22"/>
                <w:szCs w:val="22"/>
                <w:lang w:eastAsia="ja-JP"/>
              </w:rPr>
              <w:t>$222,000</w:t>
            </w:r>
          </w:p>
        </w:tc>
        <w:tc>
          <w:tcPr>
            <w:tcW w:w="588" w:type="pct"/>
            <w:shd w:val="clear" w:color="auto" w:fill="D9D9D9" w:themeFill="background1" w:themeFillShade="D9"/>
          </w:tcPr>
          <w:p w14:paraId="3B817604" w14:textId="77777777" w:rsidR="00547B72" w:rsidRPr="0044167D" w:rsidRDefault="00547B72" w:rsidP="00630761">
            <w:pPr>
              <w:spacing w:before="0"/>
              <w:jc w:val="center"/>
              <w:rPr>
                <w:sz w:val="22"/>
                <w:szCs w:val="22"/>
                <w:lang w:eastAsia="ja-JP"/>
              </w:rPr>
            </w:pPr>
          </w:p>
        </w:tc>
        <w:tc>
          <w:tcPr>
            <w:tcW w:w="588" w:type="pct"/>
          </w:tcPr>
          <w:p w14:paraId="7099429B" w14:textId="77777777" w:rsidR="00547B72" w:rsidRPr="0044167D" w:rsidRDefault="00547B72" w:rsidP="00630761">
            <w:pPr>
              <w:spacing w:before="0"/>
              <w:jc w:val="center"/>
              <w:rPr>
                <w:sz w:val="22"/>
                <w:szCs w:val="22"/>
                <w:lang w:eastAsia="ja-JP"/>
              </w:rPr>
            </w:pPr>
          </w:p>
        </w:tc>
      </w:tr>
    </w:tbl>
    <w:p w14:paraId="1F45AD58" w14:textId="2F3DD7CC" w:rsidR="00547B72" w:rsidRDefault="00547B72" w:rsidP="00547B72">
      <w:pPr>
        <w:rPr>
          <w:b/>
          <w:bCs/>
        </w:rPr>
      </w:pPr>
      <w:r w:rsidRPr="00122CC6">
        <w:rPr>
          <w:b/>
          <w:bCs/>
        </w:rPr>
        <w:lastRenderedPageBreak/>
        <w:t>Schedule 3 – Information Management</w:t>
      </w:r>
    </w:p>
    <w:p w14:paraId="728C7869" w14:textId="77777777" w:rsidR="00547B72" w:rsidRDefault="00547B72" w:rsidP="00547B72"/>
    <w:tbl>
      <w:tblPr>
        <w:tblStyle w:val="TableGrid1"/>
        <w:tblW w:w="5080" w:type="pct"/>
        <w:shd w:val="clear" w:color="auto" w:fill="B4C6E7" w:themeFill="accent1" w:themeFillTint="66"/>
        <w:tblLook w:val="04A0" w:firstRow="1" w:lastRow="0" w:firstColumn="1" w:lastColumn="0" w:noHBand="0" w:noVBand="1"/>
      </w:tblPr>
      <w:tblGrid>
        <w:gridCol w:w="1380"/>
        <w:gridCol w:w="6009"/>
        <w:gridCol w:w="1332"/>
        <w:gridCol w:w="1094"/>
        <w:gridCol w:w="1196"/>
        <w:gridCol w:w="1457"/>
        <w:gridCol w:w="1703"/>
      </w:tblGrid>
      <w:tr w:rsidR="00547B72" w:rsidRPr="00350CE3" w14:paraId="0C2AAAAC" w14:textId="77777777" w:rsidTr="00630761">
        <w:trPr>
          <w:cantSplit/>
          <w:tblHeader/>
        </w:trPr>
        <w:tc>
          <w:tcPr>
            <w:tcW w:w="487" w:type="pct"/>
            <w:shd w:val="clear" w:color="auto" w:fill="B4C6E7" w:themeFill="accent1" w:themeFillTint="66"/>
          </w:tcPr>
          <w:p w14:paraId="4CC48DD7" w14:textId="77777777" w:rsidR="00547B72" w:rsidRPr="00350CE3" w:rsidRDefault="00547B72" w:rsidP="00630761">
            <w:pPr>
              <w:spacing w:before="0"/>
              <w:jc w:val="center"/>
              <w:rPr>
                <w:b/>
                <w:bCs/>
                <w:sz w:val="22"/>
                <w:szCs w:val="22"/>
                <w:lang w:eastAsia="ja-JP"/>
              </w:rPr>
            </w:pPr>
            <w:r w:rsidRPr="00350CE3">
              <w:rPr>
                <w:b/>
                <w:bCs/>
                <w:sz w:val="22"/>
                <w:szCs w:val="22"/>
                <w:lang w:eastAsia="ja-JP"/>
              </w:rPr>
              <w:t>Provision</w:t>
            </w:r>
          </w:p>
        </w:tc>
        <w:tc>
          <w:tcPr>
            <w:tcW w:w="2120" w:type="pct"/>
            <w:shd w:val="clear" w:color="auto" w:fill="B4C6E7" w:themeFill="accent1" w:themeFillTint="66"/>
          </w:tcPr>
          <w:p w14:paraId="2B824E8B" w14:textId="77777777" w:rsidR="00547B72" w:rsidRPr="00350CE3" w:rsidRDefault="00547B72" w:rsidP="00630761">
            <w:pPr>
              <w:spacing w:before="0"/>
              <w:jc w:val="center"/>
              <w:rPr>
                <w:b/>
                <w:bCs/>
                <w:sz w:val="22"/>
                <w:szCs w:val="22"/>
                <w:lang w:eastAsia="ja-JP"/>
              </w:rPr>
            </w:pPr>
            <w:r w:rsidRPr="00350CE3">
              <w:rPr>
                <w:b/>
                <w:bCs/>
                <w:sz w:val="22"/>
                <w:szCs w:val="22"/>
                <w:lang w:eastAsia="ja-JP"/>
              </w:rPr>
              <w:t>Summary</w:t>
            </w:r>
          </w:p>
        </w:tc>
        <w:tc>
          <w:tcPr>
            <w:tcW w:w="470" w:type="pct"/>
            <w:shd w:val="clear" w:color="auto" w:fill="B4C6E7" w:themeFill="accent1" w:themeFillTint="66"/>
          </w:tcPr>
          <w:p w14:paraId="410BF161" w14:textId="77777777" w:rsidR="00547B72" w:rsidRPr="00350CE3" w:rsidRDefault="00547B72" w:rsidP="00630761">
            <w:pPr>
              <w:spacing w:before="0"/>
              <w:jc w:val="center"/>
              <w:rPr>
                <w:b/>
                <w:bCs/>
                <w:sz w:val="22"/>
                <w:szCs w:val="22"/>
                <w:lang w:eastAsia="ja-JP"/>
              </w:rPr>
            </w:pPr>
            <w:r w:rsidRPr="00350CE3">
              <w:rPr>
                <w:b/>
                <w:bCs/>
                <w:sz w:val="22"/>
                <w:szCs w:val="22"/>
                <w:lang w:eastAsia="ja-JP"/>
              </w:rPr>
              <w:t>Subsection</w:t>
            </w:r>
          </w:p>
        </w:tc>
        <w:tc>
          <w:tcPr>
            <w:tcW w:w="386" w:type="pct"/>
            <w:shd w:val="clear" w:color="auto" w:fill="B4C6E7" w:themeFill="accent1" w:themeFillTint="66"/>
          </w:tcPr>
          <w:p w14:paraId="0237E9A3" w14:textId="77777777" w:rsidR="00547B72" w:rsidRPr="00350CE3" w:rsidRDefault="00547B72" w:rsidP="00630761">
            <w:pPr>
              <w:spacing w:before="0"/>
              <w:jc w:val="center"/>
              <w:rPr>
                <w:b/>
                <w:bCs/>
                <w:sz w:val="22"/>
                <w:szCs w:val="22"/>
                <w:lang w:eastAsia="ja-JP"/>
              </w:rPr>
            </w:pPr>
            <w:r w:rsidRPr="00350CE3">
              <w:rPr>
                <w:b/>
                <w:bCs/>
                <w:sz w:val="22"/>
                <w:szCs w:val="22"/>
                <w:lang w:eastAsia="ja-JP"/>
              </w:rPr>
              <w:t xml:space="preserve">Current civil penalty </w:t>
            </w:r>
          </w:p>
          <w:p w14:paraId="360ACC0F" w14:textId="77777777" w:rsidR="00547B72" w:rsidRPr="00350CE3" w:rsidRDefault="00547B72" w:rsidP="00630761">
            <w:pPr>
              <w:spacing w:before="0"/>
              <w:jc w:val="center"/>
              <w:rPr>
                <w:b/>
                <w:bCs/>
                <w:sz w:val="22"/>
                <w:szCs w:val="22"/>
                <w:lang w:eastAsia="ja-JP"/>
              </w:rPr>
            </w:pPr>
            <w:r w:rsidRPr="00350CE3">
              <w:rPr>
                <w:b/>
                <w:bCs/>
                <w:sz w:val="22"/>
                <w:szCs w:val="22"/>
                <w:lang w:eastAsia="ja-JP"/>
              </w:rPr>
              <w:t>(penalty units / $)</w:t>
            </w:r>
          </w:p>
        </w:tc>
        <w:tc>
          <w:tcPr>
            <w:tcW w:w="422" w:type="pct"/>
            <w:shd w:val="clear" w:color="auto" w:fill="B4C6E7" w:themeFill="accent1" w:themeFillTint="66"/>
          </w:tcPr>
          <w:p w14:paraId="57433DFB" w14:textId="22C851B0" w:rsidR="00547B72" w:rsidRPr="00350CE3" w:rsidRDefault="0094789E" w:rsidP="00630761">
            <w:pPr>
              <w:spacing w:before="0"/>
              <w:jc w:val="center"/>
              <w:rPr>
                <w:b/>
                <w:bCs/>
                <w:sz w:val="22"/>
                <w:szCs w:val="22"/>
                <w:lang w:eastAsia="ja-JP"/>
              </w:rPr>
            </w:pPr>
            <w:r>
              <w:rPr>
                <w:b/>
                <w:bCs/>
                <w:sz w:val="22"/>
                <w:szCs w:val="22"/>
                <w:lang w:eastAsia="ja-JP"/>
              </w:rPr>
              <w:t>New</w:t>
            </w:r>
            <w:r w:rsidR="00547B72" w:rsidRPr="00350CE3">
              <w:rPr>
                <w:b/>
                <w:bCs/>
                <w:sz w:val="22"/>
                <w:szCs w:val="22"/>
                <w:lang w:eastAsia="ja-JP"/>
              </w:rPr>
              <w:t xml:space="preserve"> civil penalty</w:t>
            </w:r>
          </w:p>
          <w:p w14:paraId="49ADB18E" w14:textId="77777777" w:rsidR="00547B72" w:rsidRPr="00350CE3" w:rsidRDefault="00547B72" w:rsidP="00630761">
            <w:pPr>
              <w:spacing w:before="0"/>
              <w:jc w:val="center"/>
              <w:rPr>
                <w:b/>
                <w:bCs/>
                <w:sz w:val="22"/>
                <w:szCs w:val="22"/>
                <w:lang w:eastAsia="ja-JP"/>
              </w:rPr>
            </w:pPr>
            <w:r w:rsidRPr="00350CE3">
              <w:rPr>
                <w:b/>
                <w:bCs/>
                <w:sz w:val="22"/>
                <w:szCs w:val="22"/>
                <w:lang w:eastAsia="ja-JP"/>
              </w:rPr>
              <w:t>(penalty units / $)</w:t>
            </w:r>
          </w:p>
        </w:tc>
        <w:tc>
          <w:tcPr>
            <w:tcW w:w="514" w:type="pct"/>
            <w:shd w:val="clear" w:color="auto" w:fill="B4C6E7" w:themeFill="accent1" w:themeFillTint="66"/>
          </w:tcPr>
          <w:p w14:paraId="27817997" w14:textId="0431669E" w:rsidR="00547B72" w:rsidRPr="00350CE3" w:rsidRDefault="00AB6010" w:rsidP="00630761">
            <w:pPr>
              <w:spacing w:before="0"/>
              <w:jc w:val="center"/>
              <w:rPr>
                <w:b/>
                <w:bCs/>
                <w:sz w:val="22"/>
                <w:szCs w:val="22"/>
                <w:lang w:eastAsia="ja-JP"/>
              </w:rPr>
            </w:pPr>
            <w:r>
              <w:rPr>
                <w:b/>
                <w:bCs/>
                <w:sz w:val="22"/>
                <w:szCs w:val="22"/>
                <w:lang w:eastAsia="ja-JP"/>
              </w:rPr>
              <w:t>Current</w:t>
            </w:r>
            <w:r w:rsidR="00547B72" w:rsidRPr="00350CE3">
              <w:rPr>
                <w:b/>
                <w:bCs/>
                <w:sz w:val="22"/>
                <w:szCs w:val="22"/>
                <w:lang w:eastAsia="ja-JP"/>
              </w:rPr>
              <w:t xml:space="preserve"> criminal penalty</w:t>
            </w:r>
          </w:p>
          <w:p w14:paraId="2D226A00" w14:textId="77777777" w:rsidR="00547B72" w:rsidRPr="00350CE3" w:rsidRDefault="00547B72" w:rsidP="00630761">
            <w:pPr>
              <w:spacing w:before="0"/>
              <w:jc w:val="center"/>
              <w:rPr>
                <w:b/>
                <w:bCs/>
                <w:sz w:val="22"/>
                <w:szCs w:val="22"/>
                <w:lang w:eastAsia="ja-JP"/>
              </w:rPr>
            </w:pPr>
            <w:r w:rsidRPr="00350CE3">
              <w:rPr>
                <w:b/>
                <w:bCs/>
                <w:sz w:val="22"/>
                <w:szCs w:val="22"/>
                <w:lang w:eastAsia="ja-JP"/>
              </w:rPr>
              <w:t>(penalty units / $)</w:t>
            </w:r>
          </w:p>
        </w:tc>
        <w:tc>
          <w:tcPr>
            <w:tcW w:w="601" w:type="pct"/>
            <w:shd w:val="clear" w:color="auto" w:fill="B4C6E7" w:themeFill="accent1" w:themeFillTint="66"/>
          </w:tcPr>
          <w:p w14:paraId="1C495B2B" w14:textId="12FA85C0" w:rsidR="00547B72" w:rsidRPr="00350CE3" w:rsidRDefault="0094789E" w:rsidP="00630761">
            <w:pPr>
              <w:spacing w:before="0"/>
              <w:jc w:val="center"/>
              <w:rPr>
                <w:b/>
                <w:bCs/>
                <w:sz w:val="22"/>
                <w:szCs w:val="22"/>
                <w:lang w:eastAsia="ja-JP"/>
              </w:rPr>
            </w:pPr>
            <w:r>
              <w:rPr>
                <w:b/>
                <w:bCs/>
                <w:sz w:val="22"/>
                <w:szCs w:val="22"/>
                <w:lang w:eastAsia="ja-JP"/>
              </w:rPr>
              <w:t>New</w:t>
            </w:r>
            <w:r w:rsidR="00547B72" w:rsidRPr="00350CE3">
              <w:rPr>
                <w:b/>
                <w:bCs/>
                <w:sz w:val="22"/>
                <w:szCs w:val="22"/>
                <w:lang w:eastAsia="ja-JP"/>
              </w:rPr>
              <w:t xml:space="preserve"> criminal penalty </w:t>
            </w:r>
          </w:p>
          <w:p w14:paraId="453B39F1" w14:textId="77777777" w:rsidR="00547B72" w:rsidRPr="00350CE3" w:rsidRDefault="00547B72" w:rsidP="00630761">
            <w:pPr>
              <w:spacing w:before="0"/>
              <w:jc w:val="center"/>
              <w:rPr>
                <w:b/>
                <w:bCs/>
                <w:sz w:val="22"/>
                <w:szCs w:val="22"/>
                <w:lang w:eastAsia="ja-JP"/>
              </w:rPr>
            </w:pPr>
            <w:r w:rsidRPr="00350CE3">
              <w:rPr>
                <w:b/>
                <w:bCs/>
                <w:sz w:val="22"/>
                <w:szCs w:val="22"/>
                <w:lang w:eastAsia="ja-JP"/>
              </w:rPr>
              <w:t>(penalty units / $)</w:t>
            </w:r>
          </w:p>
        </w:tc>
      </w:tr>
    </w:tbl>
    <w:tbl>
      <w:tblPr>
        <w:tblStyle w:val="TableGrid3"/>
        <w:tblW w:w="14170" w:type="dxa"/>
        <w:tblLook w:val="04A0" w:firstRow="1" w:lastRow="0" w:firstColumn="1" w:lastColumn="0" w:noHBand="0" w:noVBand="1"/>
      </w:tblPr>
      <w:tblGrid>
        <w:gridCol w:w="1363"/>
        <w:gridCol w:w="6003"/>
        <w:gridCol w:w="1418"/>
        <w:gridCol w:w="992"/>
        <w:gridCol w:w="1134"/>
        <w:gridCol w:w="1559"/>
        <w:gridCol w:w="1701"/>
      </w:tblGrid>
      <w:tr w:rsidR="00547B72" w:rsidRPr="003421C6" w14:paraId="4093EEDA" w14:textId="77777777" w:rsidTr="00630761">
        <w:trPr>
          <w:cantSplit/>
          <w:trHeight w:val="803"/>
        </w:trPr>
        <w:tc>
          <w:tcPr>
            <w:tcW w:w="14170" w:type="dxa"/>
            <w:gridSpan w:val="7"/>
            <w:shd w:val="clear" w:color="auto" w:fill="D9E2F3" w:themeFill="accent1" w:themeFillTint="33"/>
          </w:tcPr>
          <w:p w14:paraId="5BE22CF9" w14:textId="77777777" w:rsidR="00547B72" w:rsidRPr="003421C6" w:rsidRDefault="00547B72" w:rsidP="00630761">
            <w:pPr>
              <w:spacing w:before="0"/>
              <w:rPr>
                <w:rFonts w:cstheme="minorHAnsi"/>
                <w:b/>
                <w:bCs/>
                <w:sz w:val="22"/>
                <w:szCs w:val="22"/>
                <w:lang w:eastAsia="ja-JP"/>
              </w:rPr>
            </w:pPr>
            <w:r w:rsidRPr="003421C6">
              <w:rPr>
                <w:rFonts w:cstheme="minorHAnsi"/>
                <w:b/>
                <w:bCs/>
                <w:sz w:val="22"/>
                <w:szCs w:val="22"/>
                <w:lang w:eastAsia="ja-JP"/>
              </w:rPr>
              <w:t>Chapter 11 – Miscellaneous</w:t>
            </w:r>
          </w:p>
          <w:p w14:paraId="0EE437E8" w14:textId="77777777" w:rsidR="00547B72" w:rsidRPr="003421C6" w:rsidRDefault="00547B72" w:rsidP="00630761">
            <w:pPr>
              <w:spacing w:before="0"/>
              <w:rPr>
                <w:rFonts w:cstheme="minorHAnsi"/>
                <w:b/>
                <w:bCs/>
                <w:sz w:val="22"/>
                <w:szCs w:val="22"/>
                <w:lang w:eastAsia="ja-JP"/>
              </w:rPr>
            </w:pPr>
            <w:r w:rsidRPr="003421C6">
              <w:rPr>
                <w:rFonts w:cstheme="minorHAnsi"/>
                <w:b/>
                <w:bCs/>
                <w:sz w:val="22"/>
                <w:szCs w:val="22"/>
                <w:lang w:eastAsia="ja-JP"/>
              </w:rPr>
              <w:t xml:space="preserve">Part 2 – </w:t>
            </w:r>
            <w:r>
              <w:rPr>
                <w:rFonts w:cstheme="minorHAnsi"/>
                <w:b/>
                <w:bCs/>
                <w:sz w:val="22"/>
                <w:szCs w:val="22"/>
                <w:lang w:eastAsia="ja-JP"/>
              </w:rPr>
              <w:t>Information management</w:t>
            </w:r>
          </w:p>
          <w:p w14:paraId="644184E3" w14:textId="77777777" w:rsidR="00547B72" w:rsidRPr="003421C6" w:rsidRDefault="00547B72" w:rsidP="00630761">
            <w:pPr>
              <w:spacing w:before="0"/>
              <w:rPr>
                <w:sz w:val="22"/>
                <w:szCs w:val="22"/>
                <w:lang w:eastAsia="ja-JP"/>
              </w:rPr>
            </w:pPr>
            <w:r w:rsidRPr="003421C6">
              <w:rPr>
                <w:rFonts w:cstheme="minorHAnsi"/>
                <w:b/>
                <w:bCs/>
                <w:sz w:val="22"/>
                <w:szCs w:val="22"/>
                <w:lang w:eastAsia="ja-JP"/>
              </w:rPr>
              <w:t>Division 2 – Offences and civil penalties</w:t>
            </w:r>
          </w:p>
        </w:tc>
      </w:tr>
      <w:tr w:rsidR="00547B72" w:rsidRPr="003421C6" w14:paraId="4D699168" w14:textId="77777777" w:rsidTr="00630761">
        <w:trPr>
          <w:cantSplit/>
          <w:trHeight w:val="467"/>
        </w:trPr>
        <w:tc>
          <w:tcPr>
            <w:tcW w:w="1363" w:type="dxa"/>
            <w:vMerge w:val="restart"/>
            <w:shd w:val="clear" w:color="auto" w:fill="D9E2F3" w:themeFill="accent1" w:themeFillTint="33"/>
          </w:tcPr>
          <w:p w14:paraId="063EFABD" w14:textId="77777777" w:rsidR="00547B72" w:rsidRPr="003421C6" w:rsidRDefault="00547B72" w:rsidP="00630761">
            <w:pPr>
              <w:spacing w:before="0"/>
              <w:rPr>
                <w:sz w:val="22"/>
                <w:szCs w:val="22"/>
                <w:lang w:eastAsia="ja-JP"/>
              </w:rPr>
            </w:pPr>
            <w:r w:rsidRPr="003421C6">
              <w:rPr>
                <w:sz w:val="22"/>
                <w:szCs w:val="22"/>
                <w:lang w:eastAsia="ja-JP"/>
              </w:rPr>
              <w:t>58</w:t>
            </w:r>
            <w:r>
              <w:rPr>
                <w:sz w:val="22"/>
                <w:szCs w:val="22"/>
                <w:lang w:eastAsia="ja-JP"/>
              </w:rPr>
              <w:t>0</w:t>
            </w:r>
          </w:p>
        </w:tc>
        <w:tc>
          <w:tcPr>
            <w:tcW w:w="6003" w:type="dxa"/>
            <w:vMerge w:val="restart"/>
          </w:tcPr>
          <w:p w14:paraId="3925DA76" w14:textId="77777777" w:rsidR="00547B72" w:rsidRPr="003421C6" w:rsidRDefault="00547B72" w:rsidP="00630761">
            <w:pPr>
              <w:spacing w:before="0"/>
              <w:rPr>
                <w:sz w:val="22"/>
                <w:szCs w:val="22"/>
              </w:rPr>
            </w:pPr>
            <w:r w:rsidRPr="003421C6">
              <w:rPr>
                <w:sz w:val="22"/>
                <w:szCs w:val="22"/>
              </w:rPr>
              <w:t xml:space="preserve">A person </w:t>
            </w:r>
            <w:r>
              <w:rPr>
                <w:sz w:val="22"/>
                <w:szCs w:val="22"/>
              </w:rPr>
              <w:t xml:space="preserve">who </w:t>
            </w:r>
            <w:r w:rsidRPr="003421C6">
              <w:rPr>
                <w:sz w:val="22"/>
                <w:szCs w:val="22"/>
              </w:rPr>
              <w:t>is, or has been an entrusted person</w:t>
            </w:r>
            <w:r>
              <w:rPr>
                <w:sz w:val="22"/>
                <w:szCs w:val="22"/>
              </w:rPr>
              <w:t xml:space="preserve"> (or other person specified in s 580(2))</w:t>
            </w:r>
            <w:r w:rsidRPr="003421C6">
              <w:rPr>
                <w:sz w:val="22"/>
                <w:szCs w:val="22"/>
              </w:rPr>
              <w:t xml:space="preserve">, </w:t>
            </w:r>
            <w:r>
              <w:rPr>
                <w:sz w:val="22"/>
                <w:szCs w:val="22"/>
              </w:rPr>
              <w:t xml:space="preserve">and </w:t>
            </w:r>
            <w:r w:rsidRPr="003421C6">
              <w:rPr>
                <w:sz w:val="22"/>
                <w:szCs w:val="22"/>
              </w:rPr>
              <w:t>who has obtained protected information</w:t>
            </w:r>
            <w:r>
              <w:rPr>
                <w:sz w:val="22"/>
                <w:szCs w:val="22"/>
              </w:rPr>
              <w:t xml:space="preserve"> in the course of, or for the purposes of, performing functions or duties, or exercising powers under the Act (or assisting another person to do so)</w:t>
            </w:r>
            <w:r w:rsidRPr="003421C6">
              <w:rPr>
                <w:sz w:val="22"/>
                <w:szCs w:val="22"/>
              </w:rPr>
              <w:t xml:space="preserve"> must not </w:t>
            </w:r>
            <w:r>
              <w:rPr>
                <w:sz w:val="22"/>
                <w:szCs w:val="22"/>
              </w:rPr>
              <w:t xml:space="preserve">make an unauthorised </w:t>
            </w:r>
            <w:r w:rsidRPr="003421C6">
              <w:rPr>
                <w:sz w:val="22"/>
                <w:szCs w:val="22"/>
              </w:rPr>
              <w:t>use</w:t>
            </w:r>
            <w:r>
              <w:rPr>
                <w:sz w:val="22"/>
                <w:szCs w:val="22"/>
              </w:rPr>
              <w:t xml:space="preserve"> </w:t>
            </w:r>
            <w:r w:rsidRPr="003421C6">
              <w:rPr>
                <w:sz w:val="22"/>
                <w:szCs w:val="22"/>
              </w:rPr>
              <w:t>or disclos</w:t>
            </w:r>
            <w:r>
              <w:rPr>
                <w:sz w:val="22"/>
                <w:szCs w:val="22"/>
              </w:rPr>
              <w:t>ur</w:t>
            </w:r>
            <w:r w:rsidRPr="003421C6">
              <w:rPr>
                <w:sz w:val="22"/>
                <w:szCs w:val="22"/>
              </w:rPr>
              <w:t>e</w:t>
            </w:r>
            <w:r>
              <w:rPr>
                <w:sz w:val="22"/>
                <w:szCs w:val="22"/>
              </w:rPr>
              <w:t xml:space="preserve"> of that information.</w:t>
            </w:r>
            <w:r w:rsidRPr="003421C6">
              <w:rPr>
                <w:sz w:val="22"/>
                <w:szCs w:val="22"/>
              </w:rPr>
              <w:t xml:space="preserve"> </w:t>
            </w:r>
          </w:p>
        </w:tc>
        <w:tc>
          <w:tcPr>
            <w:tcW w:w="1418" w:type="dxa"/>
          </w:tcPr>
          <w:p w14:paraId="7C3AA460" w14:textId="77777777" w:rsidR="00547B72" w:rsidRDefault="00547B72" w:rsidP="00630761">
            <w:pPr>
              <w:spacing w:before="0"/>
              <w:jc w:val="center"/>
              <w:rPr>
                <w:sz w:val="22"/>
                <w:szCs w:val="22"/>
              </w:rPr>
            </w:pPr>
            <w:r w:rsidRPr="003421C6">
              <w:rPr>
                <w:sz w:val="22"/>
                <w:szCs w:val="22"/>
              </w:rPr>
              <w:t>58</w:t>
            </w:r>
            <w:r>
              <w:rPr>
                <w:sz w:val="22"/>
                <w:szCs w:val="22"/>
              </w:rPr>
              <w:t>0</w:t>
            </w:r>
            <w:r w:rsidRPr="003421C6">
              <w:rPr>
                <w:sz w:val="22"/>
                <w:szCs w:val="22"/>
              </w:rPr>
              <w:t>(5)</w:t>
            </w:r>
          </w:p>
          <w:p w14:paraId="70C0E9F6" w14:textId="77777777" w:rsidR="00547B72" w:rsidRPr="003421C6" w:rsidRDefault="00547B72" w:rsidP="00630761">
            <w:pPr>
              <w:spacing w:before="0"/>
              <w:jc w:val="center"/>
              <w:rPr>
                <w:sz w:val="22"/>
                <w:szCs w:val="22"/>
              </w:rPr>
            </w:pPr>
            <w:r>
              <w:rPr>
                <w:sz w:val="22"/>
                <w:szCs w:val="22"/>
              </w:rPr>
              <w:t>(Fault-based offence)</w:t>
            </w:r>
          </w:p>
        </w:tc>
        <w:tc>
          <w:tcPr>
            <w:tcW w:w="992" w:type="dxa"/>
            <w:shd w:val="clear" w:color="auto" w:fill="D9D9D9" w:themeFill="background1" w:themeFillShade="D9"/>
          </w:tcPr>
          <w:p w14:paraId="33DC8292" w14:textId="77777777" w:rsidR="00547B72" w:rsidRPr="003421C6" w:rsidRDefault="00547B72" w:rsidP="00630761">
            <w:pPr>
              <w:spacing w:before="0"/>
              <w:rPr>
                <w:sz w:val="22"/>
                <w:szCs w:val="22"/>
              </w:rPr>
            </w:pPr>
            <w:r w:rsidRPr="003421C6">
              <w:rPr>
                <w:sz w:val="22"/>
                <w:szCs w:val="22"/>
              </w:rPr>
              <w:t>-</w:t>
            </w:r>
          </w:p>
        </w:tc>
        <w:tc>
          <w:tcPr>
            <w:tcW w:w="1134" w:type="dxa"/>
          </w:tcPr>
          <w:p w14:paraId="2D89ECCA" w14:textId="77777777" w:rsidR="00547B72" w:rsidRPr="003421C6" w:rsidRDefault="00547B72" w:rsidP="00630761">
            <w:pPr>
              <w:spacing w:before="0"/>
              <w:jc w:val="center"/>
              <w:rPr>
                <w:sz w:val="22"/>
                <w:szCs w:val="22"/>
                <w:lang w:eastAsia="ja-JP"/>
              </w:rPr>
            </w:pPr>
            <w:r w:rsidRPr="003421C6">
              <w:rPr>
                <w:sz w:val="22"/>
                <w:szCs w:val="22"/>
                <w:lang w:eastAsia="ja-JP"/>
              </w:rPr>
              <w:t>-</w:t>
            </w:r>
          </w:p>
        </w:tc>
        <w:tc>
          <w:tcPr>
            <w:tcW w:w="1559" w:type="dxa"/>
            <w:shd w:val="clear" w:color="auto" w:fill="D9D9D9" w:themeFill="background1" w:themeFillShade="D9"/>
          </w:tcPr>
          <w:p w14:paraId="1F4DBB61" w14:textId="77777777" w:rsidR="00547B72" w:rsidRPr="003421C6" w:rsidRDefault="00547B72" w:rsidP="00630761">
            <w:pPr>
              <w:spacing w:before="0"/>
              <w:jc w:val="center"/>
              <w:rPr>
                <w:sz w:val="22"/>
                <w:szCs w:val="22"/>
                <w:lang w:eastAsia="ja-JP"/>
              </w:rPr>
            </w:pPr>
            <w:r w:rsidRPr="003421C6">
              <w:rPr>
                <w:sz w:val="22"/>
                <w:szCs w:val="22"/>
                <w:lang w:eastAsia="ja-JP"/>
              </w:rPr>
              <w:t>-</w:t>
            </w:r>
          </w:p>
        </w:tc>
        <w:tc>
          <w:tcPr>
            <w:tcW w:w="1701" w:type="dxa"/>
          </w:tcPr>
          <w:p w14:paraId="041A4259" w14:textId="77777777" w:rsidR="00547B72" w:rsidRPr="003421C6" w:rsidRDefault="00547B72" w:rsidP="00630761">
            <w:pPr>
              <w:spacing w:before="0"/>
              <w:jc w:val="center"/>
              <w:rPr>
                <w:sz w:val="22"/>
                <w:szCs w:val="22"/>
                <w:lang w:eastAsia="ja-JP"/>
              </w:rPr>
            </w:pPr>
            <w:r w:rsidRPr="003421C6">
              <w:rPr>
                <w:sz w:val="22"/>
                <w:szCs w:val="22"/>
                <w:lang w:eastAsia="ja-JP"/>
              </w:rPr>
              <w:t>120 pu</w:t>
            </w:r>
          </w:p>
          <w:p w14:paraId="7E6FF618" w14:textId="77777777" w:rsidR="00547B72" w:rsidRDefault="00547B72" w:rsidP="00630761">
            <w:pPr>
              <w:spacing w:before="0"/>
              <w:jc w:val="center"/>
              <w:rPr>
                <w:sz w:val="22"/>
                <w:szCs w:val="22"/>
                <w:lang w:eastAsia="ja-JP"/>
              </w:rPr>
            </w:pPr>
            <w:r w:rsidRPr="003421C6">
              <w:rPr>
                <w:sz w:val="22"/>
                <w:szCs w:val="22"/>
                <w:lang w:eastAsia="ja-JP"/>
              </w:rPr>
              <w:t>$26,640</w:t>
            </w:r>
          </w:p>
          <w:p w14:paraId="2840E58A" w14:textId="77777777" w:rsidR="00547B72" w:rsidRDefault="00547B72" w:rsidP="00630761">
            <w:pPr>
              <w:spacing w:before="0"/>
              <w:jc w:val="center"/>
              <w:rPr>
                <w:sz w:val="22"/>
                <w:szCs w:val="22"/>
                <w:lang w:eastAsia="ja-JP"/>
              </w:rPr>
            </w:pPr>
            <w:r>
              <w:rPr>
                <w:sz w:val="22"/>
                <w:szCs w:val="22"/>
                <w:lang w:eastAsia="ja-JP"/>
              </w:rPr>
              <w:t xml:space="preserve">2 years imprisonment </w:t>
            </w:r>
          </w:p>
          <w:p w14:paraId="5CB2AB7C" w14:textId="77777777" w:rsidR="00547B72" w:rsidRPr="003421C6" w:rsidRDefault="00547B72" w:rsidP="00630761">
            <w:pPr>
              <w:spacing w:before="0"/>
              <w:jc w:val="center"/>
              <w:rPr>
                <w:sz w:val="22"/>
                <w:szCs w:val="22"/>
                <w:lang w:eastAsia="ja-JP"/>
              </w:rPr>
            </w:pPr>
            <w:r>
              <w:rPr>
                <w:sz w:val="22"/>
                <w:szCs w:val="22"/>
                <w:lang w:eastAsia="ja-JP"/>
              </w:rPr>
              <w:t>(Fault-based offence)</w:t>
            </w:r>
          </w:p>
        </w:tc>
      </w:tr>
      <w:tr w:rsidR="00547B72" w:rsidRPr="003421C6" w14:paraId="68D42E91" w14:textId="77777777" w:rsidTr="00630761">
        <w:trPr>
          <w:cantSplit/>
          <w:trHeight w:val="223"/>
        </w:trPr>
        <w:tc>
          <w:tcPr>
            <w:tcW w:w="1363" w:type="dxa"/>
            <w:vMerge/>
            <w:shd w:val="clear" w:color="auto" w:fill="D9E2F3" w:themeFill="accent1" w:themeFillTint="33"/>
          </w:tcPr>
          <w:p w14:paraId="65FC290E" w14:textId="77777777" w:rsidR="00547B72" w:rsidRPr="003421C6" w:rsidRDefault="00547B72" w:rsidP="00630761">
            <w:pPr>
              <w:spacing w:before="0"/>
              <w:rPr>
                <w:sz w:val="22"/>
                <w:szCs w:val="22"/>
                <w:lang w:eastAsia="ja-JP"/>
              </w:rPr>
            </w:pPr>
          </w:p>
        </w:tc>
        <w:tc>
          <w:tcPr>
            <w:tcW w:w="6003" w:type="dxa"/>
            <w:vMerge/>
          </w:tcPr>
          <w:p w14:paraId="15BFFBF8" w14:textId="77777777" w:rsidR="00547B72" w:rsidRPr="003421C6" w:rsidRDefault="00547B72" w:rsidP="00630761">
            <w:pPr>
              <w:spacing w:before="0"/>
              <w:rPr>
                <w:sz w:val="22"/>
                <w:szCs w:val="22"/>
              </w:rPr>
            </w:pPr>
          </w:p>
        </w:tc>
        <w:tc>
          <w:tcPr>
            <w:tcW w:w="1418" w:type="dxa"/>
          </w:tcPr>
          <w:p w14:paraId="01321291" w14:textId="77777777" w:rsidR="00547B72" w:rsidRPr="003421C6" w:rsidRDefault="00547B72" w:rsidP="00630761">
            <w:pPr>
              <w:spacing w:before="0"/>
              <w:jc w:val="center"/>
              <w:rPr>
                <w:sz w:val="22"/>
                <w:szCs w:val="22"/>
              </w:rPr>
            </w:pPr>
            <w:r w:rsidRPr="003421C6">
              <w:rPr>
                <w:sz w:val="22"/>
                <w:szCs w:val="22"/>
              </w:rPr>
              <w:t>58</w:t>
            </w:r>
            <w:r>
              <w:rPr>
                <w:sz w:val="22"/>
                <w:szCs w:val="22"/>
              </w:rPr>
              <w:t>0</w:t>
            </w:r>
            <w:r w:rsidRPr="003421C6">
              <w:rPr>
                <w:sz w:val="22"/>
                <w:szCs w:val="22"/>
              </w:rPr>
              <w:t xml:space="preserve">(6) </w:t>
            </w:r>
          </w:p>
          <w:p w14:paraId="78FF045D" w14:textId="77777777" w:rsidR="00547B72" w:rsidRPr="003421C6" w:rsidRDefault="00547B72" w:rsidP="00630761">
            <w:pPr>
              <w:spacing w:before="0"/>
              <w:jc w:val="center"/>
              <w:rPr>
                <w:sz w:val="22"/>
                <w:szCs w:val="22"/>
              </w:rPr>
            </w:pPr>
            <w:r w:rsidRPr="003421C6">
              <w:rPr>
                <w:sz w:val="22"/>
                <w:szCs w:val="22"/>
              </w:rPr>
              <w:t>(Strict Liability</w:t>
            </w:r>
            <w:r>
              <w:rPr>
                <w:sz w:val="22"/>
                <w:szCs w:val="22"/>
              </w:rPr>
              <w:t xml:space="preserve"> offence</w:t>
            </w:r>
            <w:r w:rsidRPr="003421C6">
              <w:rPr>
                <w:sz w:val="22"/>
                <w:szCs w:val="22"/>
              </w:rPr>
              <w:t>)</w:t>
            </w:r>
          </w:p>
        </w:tc>
        <w:tc>
          <w:tcPr>
            <w:tcW w:w="992" w:type="dxa"/>
            <w:shd w:val="clear" w:color="auto" w:fill="D9D9D9" w:themeFill="background1" w:themeFillShade="D9"/>
          </w:tcPr>
          <w:p w14:paraId="6A574CC2" w14:textId="77777777" w:rsidR="00547B72" w:rsidRPr="003421C6" w:rsidRDefault="00547B72" w:rsidP="00630761">
            <w:pPr>
              <w:spacing w:before="0"/>
              <w:rPr>
                <w:sz w:val="22"/>
                <w:szCs w:val="22"/>
              </w:rPr>
            </w:pPr>
            <w:r w:rsidRPr="003421C6">
              <w:rPr>
                <w:sz w:val="22"/>
                <w:szCs w:val="22"/>
              </w:rPr>
              <w:t>-</w:t>
            </w:r>
          </w:p>
        </w:tc>
        <w:tc>
          <w:tcPr>
            <w:tcW w:w="1134" w:type="dxa"/>
          </w:tcPr>
          <w:p w14:paraId="3228A64A" w14:textId="77777777" w:rsidR="00547B72" w:rsidRPr="003421C6" w:rsidRDefault="00547B72" w:rsidP="00630761">
            <w:pPr>
              <w:spacing w:before="0"/>
              <w:jc w:val="center"/>
              <w:rPr>
                <w:sz w:val="22"/>
                <w:szCs w:val="22"/>
                <w:lang w:eastAsia="ja-JP"/>
              </w:rPr>
            </w:pPr>
            <w:r w:rsidRPr="003421C6">
              <w:rPr>
                <w:sz w:val="22"/>
                <w:szCs w:val="22"/>
                <w:lang w:eastAsia="ja-JP"/>
              </w:rPr>
              <w:t>-</w:t>
            </w:r>
          </w:p>
        </w:tc>
        <w:tc>
          <w:tcPr>
            <w:tcW w:w="1559" w:type="dxa"/>
            <w:shd w:val="clear" w:color="auto" w:fill="D9D9D9" w:themeFill="background1" w:themeFillShade="D9"/>
          </w:tcPr>
          <w:p w14:paraId="5C80295E" w14:textId="77777777" w:rsidR="00547B72" w:rsidRPr="003421C6" w:rsidRDefault="00547B72" w:rsidP="00630761">
            <w:pPr>
              <w:spacing w:before="0"/>
              <w:jc w:val="center"/>
              <w:rPr>
                <w:sz w:val="22"/>
                <w:szCs w:val="22"/>
                <w:lang w:eastAsia="ja-JP"/>
              </w:rPr>
            </w:pPr>
            <w:r w:rsidRPr="003421C6">
              <w:rPr>
                <w:sz w:val="22"/>
                <w:szCs w:val="22"/>
                <w:lang w:eastAsia="ja-JP"/>
              </w:rPr>
              <w:t>-</w:t>
            </w:r>
          </w:p>
        </w:tc>
        <w:tc>
          <w:tcPr>
            <w:tcW w:w="1701" w:type="dxa"/>
          </w:tcPr>
          <w:p w14:paraId="3BBFD5BD" w14:textId="77777777" w:rsidR="00547B72" w:rsidRPr="003421C6" w:rsidRDefault="00547B72" w:rsidP="00630761">
            <w:pPr>
              <w:spacing w:before="0"/>
              <w:jc w:val="center"/>
              <w:rPr>
                <w:sz w:val="22"/>
                <w:szCs w:val="22"/>
                <w:lang w:eastAsia="ja-JP"/>
              </w:rPr>
            </w:pPr>
            <w:r w:rsidRPr="003421C6">
              <w:rPr>
                <w:sz w:val="22"/>
                <w:szCs w:val="22"/>
                <w:lang w:eastAsia="ja-JP"/>
              </w:rPr>
              <w:t>60 pu</w:t>
            </w:r>
          </w:p>
          <w:p w14:paraId="49777E4A" w14:textId="77777777" w:rsidR="00547B72" w:rsidRDefault="00547B72" w:rsidP="00630761">
            <w:pPr>
              <w:spacing w:before="0"/>
              <w:jc w:val="center"/>
              <w:rPr>
                <w:sz w:val="22"/>
                <w:szCs w:val="22"/>
                <w:lang w:eastAsia="ja-JP"/>
              </w:rPr>
            </w:pPr>
            <w:r w:rsidRPr="003421C6">
              <w:rPr>
                <w:sz w:val="22"/>
                <w:szCs w:val="22"/>
                <w:lang w:eastAsia="ja-JP"/>
              </w:rPr>
              <w:t xml:space="preserve">$13,320 </w:t>
            </w:r>
          </w:p>
          <w:p w14:paraId="0834B36E" w14:textId="77777777" w:rsidR="00547B72" w:rsidRPr="003421C6" w:rsidRDefault="00547B72" w:rsidP="00630761">
            <w:pPr>
              <w:spacing w:before="0"/>
              <w:jc w:val="center"/>
              <w:rPr>
                <w:sz w:val="22"/>
                <w:szCs w:val="22"/>
                <w:lang w:eastAsia="ja-JP"/>
              </w:rPr>
            </w:pPr>
            <w:r w:rsidRPr="003421C6">
              <w:rPr>
                <w:sz w:val="22"/>
                <w:szCs w:val="22"/>
                <w:lang w:eastAsia="ja-JP"/>
              </w:rPr>
              <w:t>(Strict Liability offence)</w:t>
            </w:r>
          </w:p>
        </w:tc>
      </w:tr>
      <w:tr w:rsidR="00547B72" w:rsidRPr="003421C6" w14:paraId="2D870DF7" w14:textId="77777777" w:rsidTr="00630761">
        <w:trPr>
          <w:cantSplit/>
          <w:trHeight w:val="262"/>
        </w:trPr>
        <w:tc>
          <w:tcPr>
            <w:tcW w:w="1363" w:type="dxa"/>
            <w:vMerge/>
            <w:shd w:val="clear" w:color="auto" w:fill="D9E2F3" w:themeFill="accent1" w:themeFillTint="33"/>
          </w:tcPr>
          <w:p w14:paraId="2F0B65F1" w14:textId="77777777" w:rsidR="00547B72" w:rsidRPr="003421C6" w:rsidRDefault="00547B72" w:rsidP="00630761">
            <w:pPr>
              <w:spacing w:before="0"/>
              <w:rPr>
                <w:sz w:val="22"/>
                <w:szCs w:val="22"/>
                <w:lang w:eastAsia="ja-JP"/>
              </w:rPr>
            </w:pPr>
          </w:p>
        </w:tc>
        <w:tc>
          <w:tcPr>
            <w:tcW w:w="6003" w:type="dxa"/>
            <w:vMerge/>
          </w:tcPr>
          <w:p w14:paraId="63528C4A" w14:textId="77777777" w:rsidR="00547B72" w:rsidRPr="003421C6" w:rsidRDefault="00547B72" w:rsidP="00630761">
            <w:pPr>
              <w:spacing w:before="0"/>
              <w:rPr>
                <w:sz w:val="22"/>
                <w:szCs w:val="22"/>
              </w:rPr>
            </w:pPr>
          </w:p>
        </w:tc>
        <w:tc>
          <w:tcPr>
            <w:tcW w:w="1418" w:type="dxa"/>
          </w:tcPr>
          <w:p w14:paraId="70DCE67F" w14:textId="77777777" w:rsidR="00547B72" w:rsidRPr="003421C6" w:rsidRDefault="00547B72" w:rsidP="00630761">
            <w:pPr>
              <w:spacing w:before="0"/>
              <w:jc w:val="center"/>
              <w:rPr>
                <w:sz w:val="22"/>
                <w:szCs w:val="22"/>
              </w:rPr>
            </w:pPr>
            <w:r w:rsidRPr="003421C6">
              <w:rPr>
                <w:sz w:val="22"/>
                <w:szCs w:val="22"/>
              </w:rPr>
              <w:t>58</w:t>
            </w:r>
            <w:r>
              <w:rPr>
                <w:sz w:val="22"/>
                <w:szCs w:val="22"/>
              </w:rPr>
              <w:t>0</w:t>
            </w:r>
            <w:r w:rsidRPr="003421C6">
              <w:rPr>
                <w:sz w:val="22"/>
                <w:szCs w:val="22"/>
              </w:rPr>
              <w:t>(7)</w:t>
            </w:r>
          </w:p>
        </w:tc>
        <w:tc>
          <w:tcPr>
            <w:tcW w:w="992" w:type="dxa"/>
            <w:shd w:val="clear" w:color="auto" w:fill="D9D9D9" w:themeFill="background1" w:themeFillShade="D9"/>
          </w:tcPr>
          <w:p w14:paraId="65837A64" w14:textId="77777777" w:rsidR="00547B72" w:rsidRPr="003421C6" w:rsidRDefault="00547B72" w:rsidP="00630761">
            <w:pPr>
              <w:spacing w:before="0"/>
              <w:rPr>
                <w:sz w:val="22"/>
                <w:szCs w:val="22"/>
              </w:rPr>
            </w:pPr>
            <w:r w:rsidRPr="003421C6">
              <w:rPr>
                <w:sz w:val="22"/>
                <w:szCs w:val="22"/>
              </w:rPr>
              <w:t>-</w:t>
            </w:r>
          </w:p>
        </w:tc>
        <w:tc>
          <w:tcPr>
            <w:tcW w:w="1134" w:type="dxa"/>
          </w:tcPr>
          <w:p w14:paraId="7FFB29AA" w14:textId="77777777" w:rsidR="00547B72" w:rsidRPr="003421C6" w:rsidRDefault="00547B72" w:rsidP="00630761">
            <w:pPr>
              <w:spacing w:before="0"/>
              <w:jc w:val="center"/>
              <w:rPr>
                <w:sz w:val="22"/>
                <w:szCs w:val="22"/>
                <w:lang w:eastAsia="ja-JP"/>
              </w:rPr>
            </w:pPr>
            <w:r w:rsidRPr="003421C6">
              <w:rPr>
                <w:sz w:val="22"/>
                <w:szCs w:val="22"/>
                <w:lang w:eastAsia="ja-JP"/>
              </w:rPr>
              <w:t>120 pu</w:t>
            </w:r>
          </w:p>
          <w:p w14:paraId="617A48B4" w14:textId="77777777" w:rsidR="00547B72" w:rsidRPr="003421C6" w:rsidRDefault="00547B72" w:rsidP="00630761">
            <w:pPr>
              <w:spacing w:before="0"/>
              <w:jc w:val="center"/>
              <w:rPr>
                <w:sz w:val="22"/>
                <w:szCs w:val="22"/>
                <w:lang w:eastAsia="ja-JP"/>
              </w:rPr>
            </w:pPr>
            <w:r w:rsidRPr="003421C6">
              <w:rPr>
                <w:sz w:val="22"/>
                <w:szCs w:val="22"/>
                <w:lang w:eastAsia="ja-JP"/>
              </w:rPr>
              <w:t>$26,640</w:t>
            </w:r>
          </w:p>
        </w:tc>
        <w:tc>
          <w:tcPr>
            <w:tcW w:w="1559" w:type="dxa"/>
            <w:shd w:val="clear" w:color="auto" w:fill="D9D9D9" w:themeFill="background1" w:themeFillShade="D9"/>
          </w:tcPr>
          <w:p w14:paraId="2B441B9A" w14:textId="77777777" w:rsidR="00547B72" w:rsidRPr="003421C6" w:rsidRDefault="00547B72" w:rsidP="00630761">
            <w:pPr>
              <w:spacing w:before="0"/>
              <w:jc w:val="center"/>
              <w:rPr>
                <w:sz w:val="22"/>
                <w:szCs w:val="22"/>
                <w:lang w:eastAsia="ja-JP"/>
              </w:rPr>
            </w:pPr>
            <w:r w:rsidRPr="003421C6">
              <w:rPr>
                <w:sz w:val="22"/>
                <w:szCs w:val="22"/>
                <w:lang w:eastAsia="ja-JP"/>
              </w:rPr>
              <w:t>--</w:t>
            </w:r>
          </w:p>
        </w:tc>
        <w:tc>
          <w:tcPr>
            <w:tcW w:w="1701" w:type="dxa"/>
          </w:tcPr>
          <w:p w14:paraId="6EE3A03C" w14:textId="77777777" w:rsidR="00547B72" w:rsidRPr="003421C6" w:rsidRDefault="00547B72" w:rsidP="00630761">
            <w:pPr>
              <w:spacing w:before="0"/>
              <w:jc w:val="center"/>
              <w:rPr>
                <w:sz w:val="22"/>
                <w:szCs w:val="22"/>
                <w:lang w:eastAsia="ja-JP"/>
              </w:rPr>
            </w:pPr>
            <w:r w:rsidRPr="003421C6">
              <w:rPr>
                <w:sz w:val="22"/>
                <w:szCs w:val="22"/>
                <w:lang w:eastAsia="ja-JP"/>
              </w:rPr>
              <w:t>-</w:t>
            </w:r>
          </w:p>
        </w:tc>
      </w:tr>
    </w:tbl>
    <w:p w14:paraId="312F936C" w14:textId="77777777" w:rsidR="00547B72" w:rsidRDefault="00547B72" w:rsidP="00547B72"/>
    <w:p w14:paraId="3726DF90" w14:textId="77777777" w:rsidR="00547B72" w:rsidRDefault="00547B72" w:rsidP="00547B72"/>
    <w:p w14:paraId="6F66AF61" w14:textId="3ED49731" w:rsidR="00547B72" w:rsidRDefault="00547B72"/>
    <w:p w14:paraId="7CB8F88E" w14:textId="5F2463E8" w:rsidR="00547B72" w:rsidRDefault="00547B72"/>
    <w:p w14:paraId="1219B318" w14:textId="7EF86433" w:rsidR="00547B72" w:rsidRDefault="00547B72"/>
    <w:p w14:paraId="1A28F97B" w14:textId="30F7AE63" w:rsidR="00547B72" w:rsidRDefault="00547B72"/>
    <w:p w14:paraId="28E9E97A" w14:textId="497764BE" w:rsidR="00547B72" w:rsidRDefault="00547B72">
      <w:pPr>
        <w:spacing w:before="0" w:after="160" w:line="259" w:lineRule="auto"/>
      </w:pPr>
      <w:r>
        <w:br w:type="page"/>
      </w:r>
    </w:p>
    <w:p w14:paraId="3A4F5642" w14:textId="609F8E4E" w:rsidR="00547B72" w:rsidRDefault="00547B72">
      <w:r w:rsidRPr="00723B3B">
        <w:rPr>
          <w:b/>
          <w:bCs/>
        </w:rPr>
        <w:lastRenderedPageBreak/>
        <w:t>Schedule 4 – Strengthening Penalties</w:t>
      </w:r>
    </w:p>
    <w:p w14:paraId="69EFC5AB" w14:textId="77777777" w:rsidR="00547B72" w:rsidRDefault="00547B72"/>
    <w:tbl>
      <w:tblPr>
        <w:tblStyle w:val="TableGrid"/>
        <w:tblW w:w="5000" w:type="pct"/>
        <w:tblLook w:val="04A0" w:firstRow="1" w:lastRow="0" w:firstColumn="1" w:lastColumn="0" w:noHBand="0" w:noVBand="1"/>
      </w:tblPr>
      <w:tblGrid>
        <w:gridCol w:w="1104"/>
        <w:gridCol w:w="6798"/>
        <w:gridCol w:w="1299"/>
        <w:gridCol w:w="1052"/>
        <w:gridCol w:w="1164"/>
        <w:gridCol w:w="1178"/>
        <w:gridCol w:w="1353"/>
      </w:tblGrid>
      <w:tr w:rsidR="00547B72" w:rsidRPr="000E342B" w14:paraId="3DB94A3D" w14:textId="77777777" w:rsidTr="00630761">
        <w:trPr>
          <w:cantSplit/>
          <w:tblHeader/>
        </w:trPr>
        <w:tc>
          <w:tcPr>
            <w:tcW w:w="354" w:type="pct"/>
            <w:shd w:val="clear" w:color="auto" w:fill="B4C6E7" w:themeFill="accent1" w:themeFillTint="66"/>
          </w:tcPr>
          <w:p w14:paraId="5E3FCB21" w14:textId="77777777" w:rsidR="00547B72" w:rsidRPr="000E342B" w:rsidRDefault="00547B72" w:rsidP="00630761">
            <w:pPr>
              <w:spacing w:before="0"/>
              <w:rPr>
                <w:b/>
                <w:bCs/>
                <w:lang w:eastAsia="ja-JP"/>
              </w:rPr>
            </w:pPr>
            <w:r w:rsidRPr="000E342B">
              <w:rPr>
                <w:b/>
                <w:bCs/>
                <w:lang w:eastAsia="ja-JP"/>
              </w:rPr>
              <w:t>Provision</w:t>
            </w:r>
          </w:p>
        </w:tc>
        <w:tc>
          <w:tcPr>
            <w:tcW w:w="2444" w:type="pct"/>
            <w:shd w:val="clear" w:color="auto" w:fill="B4C6E7" w:themeFill="accent1" w:themeFillTint="66"/>
          </w:tcPr>
          <w:p w14:paraId="5060A0EE" w14:textId="77777777" w:rsidR="00547B72" w:rsidRPr="000E342B" w:rsidRDefault="00547B72" w:rsidP="00630761">
            <w:pPr>
              <w:spacing w:before="0"/>
              <w:jc w:val="center"/>
              <w:rPr>
                <w:b/>
                <w:bCs/>
                <w:lang w:eastAsia="ja-JP"/>
              </w:rPr>
            </w:pPr>
            <w:r w:rsidRPr="000E342B">
              <w:rPr>
                <w:b/>
                <w:bCs/>
                <w:lang w:eastAsia="ja-JP"/>
              </w:rPr>
              <w:t>Summary</w:t>
            </w:r>
          </w:p>
          <w:p w14:paraId="260AB28A" w14:textId="77777777" w:rsidR="00547B72" w:rsidRPr="000E342B" w:rsidRDefault="00547B72" w:rsidP="00630761">
            <w:pPr>
              <w:spacing w:before="0"/>
              <w:rPr>
                <w:b/>
                <w:bCs/>
                <w:lang w:eastAsia="ja-JP"/>
              </w:rPr>
            </w:pPr>
          </w:p>
          <w:p w14:paraId="03701714" w14:textId="77777777" w:rsidR="00547B72" w:rsidRPr="000E342B" w:rsidRDefault="00547B72" w:rsidP="00630761">
            <w:pPr>
              <w:tabs>
                <w:tab w:val="left" w:pos="1596"/>
              </w:tabs>
              <w:spacing w:before="0"/>
              <w:jc w:val="center"/>
              <w:rPr>
                <w:lang w:eastAsia="ja-JP"/>
              </w:rPr>
            </w:pPr>
          </w:p>
        </w:tc>
        <w:tc>
          <w:tcPr>
            <w:tcW w:w="473" w:type="pct"/>
            <w:shd w:val="clear" w:color="auto" w:fill="B4C6E7" w:themeFill="accent1" w:themeFillTint="66"/>
          </w:tcPr>
          <w:p w14:paraId="7E31FD8E" w14:textId="77777777" w:rsidR="00547B72" w:rsidRPr="000E342B" w:rsidRDefault="00547B72" w:rsidP="00630761">
            <w:pPr>
              <w:spacing w:before="0"/>
              <w:jc w:val="center"/>
              <w:rPr>
                <w:b/>
                <w:bCs/>
                <w:lang w:eastAsia="ja-JP"/>
              </w:rPr>
            </w:pPr>
            <w:r w:rsidRPr="000E342B">
              <w:rPr>
                <w:b/>
                <w:bCs/>
                <w:lang w:eastAsia="ja-JP"/>
              </w:rPr>
              <w:t>Subsection</w:t>
            </w:r>
          </w:p>
        </w:tc>
        <w:tc>
          <w:tcPr>
            <w:tcW w:w="384" w:type="pct"/>
            <w:shd w:val="clear" w:color="auto" w:fill="B4C6E7" w:themeFill="accent1" w:themeFillTint="66"/>
          </w:tcPr>
          <w:p w14:paraId="5ED91FA1" w14:textId="77777777" w:rsidR="00547B72" w:rsidRPr="000E342B" w:rsidRDefault="00547B72" w:rsidP="00630761">
            <w:pPr>
              <w:spacing w:before="0"/>
              <w:jc w:val="center"/>
              <w:rPr>
                <w:b/>
                <w:bCs/>
                <w:lang w:eastAsia="ja-JP"/>
              </w:rPr>
            </w:pPr>
            <w:r w:rsidRPr="000E342B">
              <w:rPr>
                <w:b/>
                <w:bCs/>
                <w:lang w:eastAsia="ja-JP"/>
              </w:rPr>
              <w:t>Current civil penalty</w:t>
            </w:r>
          </w:p>
          <w:p w14:paraId="4A9F44D2" w14:textId="77777777" w:rsidR="00547B72" w:rsidRPr="000E342B" w:rsidRDefault="00547B72" w:rsidP="00630761">
            <w:pPr>
              <w:spacing w:before="0"/>
              <w:jc w:val="center"/>
              <w:rPr>
                <w:b/>
                <w:bCs/>
                <w:lang w:eastAsia="ja-JP"/>
              </w:rPr>
            </w:pPr>
            <w:r w:rsidRPr="000E342B">
              <w:rPr>
                <w:b/>
                <w:bCs/>
                <w:lang w:eastAsia="ja-JP"/>
              </w:rPr>
              <w:t>(penalty units / $)</w:t>
            </w:r>
          </w:p>
        </w:tc>
        <w:tc>
          <w:tcPr>
            <w:tcW w:w="424" w:type="pct"/>
            <w:shd w:val="clear" w:color="auto" w:fill="B4C6E7" w:themeFill="accent1" w:themeFillTint="66"/>
          </w:tcPr>
          <w:p w14:paraId="5B200441" w14:textId="36DD664C" w:rsidR="00547B72" w:rsidRPr="000E342B" w:rsidRDefault="0094789E" w:rsidP="00630761">
            <w:pPr>
              <w:spacing w:before="0"/>
              <w:jc w:val="center"/>
              <w:rPr>
                <w:b/>
                <w:bCs/>
                <w:lang w:eastAsia="ja-JP"/>
              </w:rPr>
            </w:pPr>
            <w:r>
              <w:rPr>
                <w:b/>
                <w:bCs/>
                <w:lang w:eastAsia="ja-JP"/>
              </w:rPr>
              <w:t>New</w:t>
            </w:r>
            <w:r w:rsidR="00547B72" w:rsidRPr="000E342B">
              <w:rPr>
                <w:b/>
                <w:bCs/>
                <w:lang w:eastAsia="ja-JP"/>
              </w:rPr>
              <w:t xml:space="preserve"> civil penalty</w:t>
            </w:r>
          </w:p>
          <w:p w14:paraId="765014E4" w14:textId="77777777" w:rsidR="00547B72" w:rsidRPr="000E342B" w:rsidRDefault="00547B72" w:rsidP="00630761">
            <w:pPr>
              <w:spacing w:before="0"/>
              <w:jc w:val="center"/>
              <w:rPr>
                <w:b/>
                <w:bCs/>
                <w:lang w:eastAsia="ja-JP"/>
              </w:rPr>
            </w:pPr>
            <w:r w:rsidRPr="000E342B">
              <w:rPr>
                <w:b/>
                <w:bCs/>
                <w:lang w:eastAsia="ja-JP"/>
              </w:rPr>
              <w:t>(penalty units / $)</w:t>
            </w:r>
          </w:p>
        </w:tc>
        <w:tc>
          <w:tcPr>
            <w:tcW w:w="429" w:type="pct"/>
            <w:shd w:val="clear" w:color="auto" w:fill="B4C6E7" w:themeFill="accent1" w:themeFillTint="66"/>
          </w:tcPr>
          <w:p w14:paraId="793E6284" w14:textId="77777777" w:rsidR="00547B72" w:rsidRPr="000E342B" w:rsidRDefault="00547B72" w:rsidP="00630761">
            <w:pPr>
              <w:spacing w:before="0"/>
              <w:jc w:val="center"/>
              <w:rPr>
                <w:b/>
                <w:bCs/>
                <w:lang w:eastAsia="ja-JP"/>
              </w:rPr>
            </w:pPr>
            <w:r w:rsidRPr="000E342B">
              <w:rPr>
                <w:b/>
                <w:bCs/>
                <w:lang w:eastAsia="ja-JP"/>
              </w:rPr>
              <w:t>Current criminal penalty</w:t>
            </w:r>
          </w:p>
          <w:p w14:paraId="69564D2C" w14:textId="77777777" w:rsidR="00547B72" w:rsidRPr="000E342B" w:rsidRDefault="00547B72" w:rsidP="00630761">
            <w:pPr>
              <w:spacing w:before="0"/>
              <w:jc w:val="center"/>
              <w:rPr>
                <w:b/>
                <w:bCs/>
                <w:lang w:eastAsia="ja-JP"/>
              </w:rPr>
            </w:pPr>
            <w:r w:rsidRPr="000E342B">
              <w:rPr>
                <w:b/>
                <w:bCs/>
                <w:lang w:eastAsia="ja-JP"/>
              </w:rPr>
              <w:t>(fault-based offence)</w:t>
            </w:r>
          </w:p>
          <w:p w14:paraId="2EDB8E7E" w14:textId="77777777" w:rsidR="00547B72" w:rsidRPr="000E342B" w:rsidRDefault="00547B72" w:rsidP="00630761">
            <w:pPr>
              <w:spacing w:before="0"/>
              <w:jc w:val="center"/>
              <w:rPr>
                <w:b/>
                <w:bCs/>
                <w:lang w:eastAsia="ja-JP"/>
              </w:rPr>
            </w:pPr>
            <w:r w:rsidRPr="000E342B">
              <w:rPr>
                <w:b/>
                <w:bCs/>
                <w:lang w:eastAsia="ja-JP"/>
              </w:rPr>
              <w:t>(penalty units / $)</w:t>
            </w:r>
            <w:r w:rsidRPr="000E342B">
              <w:rPr>
                <w:rStyle w:val="FootnoteReference"/>
                <w:b/>
                <w:bCs/>
              </w:rPr>
              <w:t>1</w:t>
            </w:r>
          </w:p>
        </w:tc>
        <w:tc>
          <w:tcPr>
            <w:tcW w:w="491" w:type="pct"/>
            <w:shd w:val="clear" w:color="auto" w:fill="B4C6E7" w:themeFill="accent1" w:themeFillTint="66"/>
          </w:tcPr>
          <w:p w14:paraId="37F634C4" w14:textId="29F5BC4D" w:rsidR="00547B72" w:rsidRPr="000E342B" w:rsidRDefault="0094789E" w:rsidP="00630761">
            <w:pPr>
              <w:spacing w:before="0"/>
              <w:jc w:val="center"/>
              <w:rPr>
                <w:b/>
                <w:bCs/>
                <w:lang w:eastAsia="ja-JP"/>
              </w:rPr>
            </w:pPr>
            <w:r>
              <w:rPr>
                <w:b/>
                <w:bCs/>
                <w:lang w:eastAsia="ja-JP"/>
              </w:rPr>
              <w:t>New</w:t>
            </w:r>
            <w:r w:rsidR="00547B72" w:rsidRPr="000E342B">
              <w:rPr>
                <w:b/>
                <w:bCs/>
                <w:lang w:eastAsia="ja-JP"/>
              </w:rPr>
              <w:t xml:space="preserve"> criminal penalty (fault-based offence)</w:t>
            </w:r>
          </w:p>
          <w:p w14:paraId="7B53177F" w14:textId="77777777" w:rsidR="00547B72" w:rsidRPr="000E342B" w:rsidRDefault="00547B72" w:rsidP="00630761">
            <w:pPr>
              <w:spacing w:before="0"/>
              <w:jc w:val="center"/>
              <w:rPr>
                <w:b/>
                <w:bCs/>
                <w:lang w:eastAsia="ja-JP"/>
              </w:rPr>
            </w:pPr>
            <w:r w:rsidRPr="000E342B">
              <w:rPr>
                <w:b/>
                <w:bCs/>
                <w:lang w:eastAsia="ja-JP"/>
              </w:rPr>
              <w:t>(penalty units / $)</w:t>
            </w:r>
            <w:r w:rsidRPr="000E342B">
              <w:rPr>
                <w:rStyle w:val="FootnoteReference"/>
                <w:b/>
                <w:bCs/>
              </w:rPr>
              <w:t>2</w:t>
            </w:r>
          </w:p>
        </w:tc>
      </w:tr>
      <w:tr w:rsidR="00547B72" w:rsidRPr="000E342B" w14:paraId="2D8C951D" w14:textId="77777777" w:rsidTr="00630761">
        <w:trPr>
          <w:cantSplit/>
        </w:trPr>
        <w:tc>
          <w:tcPr>
            <w:tcW w:w="5000" w:type="pct"/>
            <w:gridSpan w:val="7"/>
            <w:shd w:val="clear" w:color="auto" w:fill="D9E2F3" w:themeFill="accent1" w:themeFillTint="33"/>
          </w:tcPr>
          <w:p w14:paraId="0861DD9B" w14:textId="77777777" w:rsidR="00547B72" w:rsidRPr="000E342B" w:rsidRDefault="00547B72" w:rsidP="00630761">
            <w:pPr>
              <w:spacing w:before="0"/>
              <w:rPr>
                <w:b/>
                <w:bCs/>
                <w:lang w:eastAsia="ja-JP"/>
              </w:rPr>
            </w:pPr>
            <w:r w:rsidRPr="000E342B">
              <w:rPr>
                <w:b/>
                <w:bCs/>
                <w:lang w:eastAsia="ja-JP"/>
              </w:rPr>
              <w:t>Chapter 3 – Managing biosecurity risks: goods</w:t>
            </w:r>
          </w:p>
          <w:p w14:paraId="2D7F35D0" w14:textId="77777777" w:rsidR="00547B72" w:rsidRPr="000E342B" w:rsidRDefault="00547B72" w:rsidP="00630761">
            <w:pPr>
              <w:spacing w:before="0"/>
              <w:rPr>
                <w:b/>
                <w:bCs/>
                <w:lang w:eastAsia="ja-JP"/>
              </w:rPr>
            </w:pPr>
            <w:r w:rsidRPr="000E342B">
              <w:rPr>
                <w:b/>
                <w:bCs/>
                <w:lang w:eastAsia="ja-JP"/>
              </w:rPr>
              <w:t>Part 1 —Good</w:t>
            </w:r>
            <w:r>
              <w:rPr>
                <w:b/>
                <w:bCs/>
                <w:lang w:eastAsia="ja-JP"/>
              </w:rPr>
              <w:t>s</w:t>
            </w:r>
            <w:r w:rsidRPr="000E342B">
              <w:rPr>
                <w:b/>
                <w:bCs/>
                <w:lang w:eastAsia="ja-JP"/>
              </w:rPr>
              <w:t xml:space="preserve"> brought into Australian </w:t>
            </w:r>
            <w:r>
              <w:rPr>
                <w:b/>
                <w:bCs/>
                <w:lang w:eastAsia="ja-JP"/>
              </w:rPr>
              <w:t>t</w:t>
            </w:r>
            <w:r w:rsidRPr="000E342B">
              <w:rPr>
                <w:b/>
                <w:bCs/>
                <w:lang w:eastAsia="ja-JP"/>
              </w:rPr>
              <w:t>erritory</w:t>
            </w:r>
          </w:p>
          <w:p w14:paraId="04403060" w14:textId="77777777" w:rsidR="00547B72" w:rsidRPr="000E342B" w:rsidRDefault="00547B72" w:rsidP="00630761">
            <w:pPr>
              <w:spacing w:before="0"/>
              <w:rPr>
                <w:b/>
                <w:bCs/>
                <w:lang w:eastAsia="ja-JP"/>
              </w:rPr>
            </w:pPr>
            <w:r w:rsidRPr="000E342B">
              <w:rPr>
                <w:b/>
                <w:bCs/>
                <w:lang w:eastAsia="ja-JP"/>
              </w:rPr>
              <w:t xml:space="preserve">Division 3 – Notice of goods to be unloaded in Australian </w:t>
            </w:r>
            <w:r>
              <w:rPr>
                <w:b/>
                <w:bCs/>
                <w:lang w:eastAsia="ja-JP"/>
              </w:rPr>
              <w:t>t</w:t>
            </w:r>
            <w:r w:rsidRPr="000E342B">
              <w:rPr>
                <w:b/>
                <w:bCs/>
                <w:lang w:eastAsia="ja-JP"/>
              </w:rPr>
              <w:t>erritory</w:t>
            </w:r>
          </w:p>
        </w:tc>
      </w:tr>
      <w:tr w:rsidR="00547B72" w:rsidRPr="000E342B" w14:paraId="2AE2096B" w14:textId="77777777" w:rsidTr="00630761">
        <w:trPr>
          <w:trHeight w:val="560"/>
        </w:trPr>
        <w:tc>
          <w:tcPr>
            <w:tcW w:w="354" w:type="pct"/>
            <w:vMerge w:val="restart"/>
            <w:shd w:val="clear" w:color="auto" w:fill="D9E2F3" w:themeFill="accent1" w:themeFillTint="33"/>
          </w:tcPr>
          <w:p w14:paraId="054142E5" w14:textId="77777777" w:rsidR="00547B72" w:rsidRPr="000E342B" w:rsidRDefault="00547B72" w:rsidP="00630761">
            <w:pPr>
              <w:spacing w:before="0"/>
            </w:pPr>
            <w:r w:rsidRPr="000E342B">
              <w:t>120</w:t>
            </w:r>
          </w:p>
        </w:tc>
        <w:tc>
          <w:tcPr>
            <w:tcW w:w="2444" w:type="pct"/>
            <w:vMerge w:val="restart"/>
          </w:tcPr>
          <w:p w14:paraId="33AFF800" w14:textId="77777777" w:rsidR="00547B72" w:rsidRPr="000E342B" w:rsidRDefault="00547B72" w:rsidP="00630761">
            <w:pPr>
              <w:spacing w:before="0"/>
            </w:pPr>
            <w:r w:rsidRPr="000E342B">
              <w:t xml:space="preserve">Person must give notice of goods that are or are intended to be brought into and unloaded in Australian territory </w:t>
            </w:r>
          </w:p>
        </w:tc>
        <w:tc>
          <w:tcPr>
            <w:tcW w:w="473" w:type="pct"/>
            <w:shd w:val="clear" w:color="auto" w:fill="D9E2F3" w:themeFill="accent1" w:themeFillTint="33"/>
          </w:tcPr>
          <w:p w14:paraId="00C9E34F" w14:textId="77777777" w:rsidR="00547B72" w:rsidRPr="000E342B" w:rsidRDefault="00547B72" w:rsidP="00630761">
            <w:pPr>
              <w:spacing w:before="0"/>
              <w:jc w:val="center"/>
            </w:pPr>
            <w:r w:rsidRPr="000E342B">
              <w:t>120(6)</w:t>
            </w:r>
          </w:p>
        </w:tc>
        <w:tc>
          <w:tcPr>
            <w:tcW w:w="384" w:type="pct"/>
            <w:shd w:val="clear" w:color="auto" w:fill="D9D9D9" w:themeFill="background1" w:themeFillShade="D9"/>
          </w:tcPr>
          <w:p w14:paraId="5C21EFDD" w14:textId="77777777" w:rsidR="00547B72" w:rsidRPr="000E342B" w:rsidRDefault="00547B72" w:rsidP="00630761">
            <w:pPr>
              <w:spacing w:before="0"/>
              <w:jc w:val="center"/>
            </w:pPr>
            <w:r w:rsidRPr="000E342B">
              <w:t>-</w:t>
            </w:r>
          </w:p>
        </w:tc>
        <w:tc>
          <w:tcPr>
            <w:tcW w:w="424" w:type="pct"/>
          </w:tcPr>
          <w:p w14:paraId="1CFBEAE6" w14:textId="77777777" w:rsidR="00547B72" w:rsidRPr="000E342B" w:rsidRDefault="00547B72" w:rsidP="00630761">
            <w:pPr>
              <w:spacing w:before="0"/>
              <w:jc w:val="center"/>
            </w:pPr>
            <w:r w:rsidRPr="000E342B">
              <w:t>-</w:t>
            </w:r>
          </w:p>
        </w:tc>
        <w:tc>
          <w:tcPr>
            <w:tcW w:w="429" w:type="pct"/>
            <w:shd w:val="clear" w:color="auto" w:fill="D9D9D9" w:themeFill="background1" w:themeFillShade="D9"/>
          </w:tcPr>
          <w:p w14:paraId="076F30EE" w14:textId="77777777" w:rsidR="00547B72" w:rsidRPr="000E342B" w:rsidRDefault="00547B72" w:rsidP="00630761">
            <w:pPr>
              <w:spacing w:before="0"/>
              <w:jc w:val="center"/>
            </w:pPr>
            <w:r w:rsidRPr="000E342B">
              <w:t>120 pu</w:t>
            </w:r>
          </w:p>
          <w:p w14:paraId="4FB4D6DA" w14:textId="77777777" w:rsidR="00547B72" w:rsidRPr="000E342B" w:rsidRDefault="00547B72" w:rsidP="00630761">
            <w:pPr>
              <w:spacing w:before="0"/>
              <w:jc w:val="center"/>
            </w:pPr>
            <w:r w:rsidRPr="000E342B">
              <w:t>$26,640</w:t>
            </w:r>
          </w:p>
        </w:tc>
        <w:tc>
          <w:tcPr>
            <w:tcW w:w="491" w:type="pct"/>
          </w:tcPr>
          <w:p w14:paraId="67A35278" w14:textId="77777777" w:rsidR="00547B72" w:rsidRPr="000E342B" w:rsidRDefault="00547B72" w:rsidP="00630761">
            <w:pPr>
              <w:spacing w:before="0"/>
              <w:jc w:val="center"/>
            </w:pPr>
            <w:r w:rsidRPr="000E342B">
              <w:t>300 pu</w:t>
            </w:r>
          </w:p>
          <w:p w14:paraId="7F9FA74C" w14:textId="77777777" w:rsidR="00547B72" w:rsidRPr="000E342B" w:rsidRDefault="00547B72" w:rsidP="00630761">
            <w:pPr>
              <w:spacing w:before="0"/>
              <w:jc w:val="center"/>
            </w:pPr>
            <w:r w:rsidRPr="000E342B">
              <w:t>$66,600</w:t>
            </w:r>
          </w:p>
        </w:tc>
      </w:tr>
      <w:tr w:rsidR="00547B72" w:rsidRPr="000E342B" w14:paraId="1B6A5257" w14:textId="77777777" w:rsidTr="00630761">
        <w:trPr>
          <w:trHeight w:val="560"/>
        </w:trPr>
        <w:tc>
          <w:tcPr>
            <w:tcW w:w="354" w:type="pct"/>
            <w:vMerge/>
            <w:shd w:val="clear" w:color="auto" w:fill="D9E2F3" w:themeFill="accent1" w:themeFillTint="33"/>
          </w:tcPr>
          <w:p w14:paraId="3C901C9F" w14:textId="77777777" w:rsidR="00547B72" w:rsidRPr="000E342B" w:rsidRDefault="00547B72" w:rsidP="00630761">
            <w:pPr>
              <w:spacing w:before="0"/>
            </w:pPr>
          </w:p>
        </w:tc>
        <w:tc>
          <w:tcPr>
            <w:tcW w:w="2444" w:type="pct"/>
            <w:vMerge/>
          </w:tcPr>
          <w:p w14:paraId="7FA6D5ED" w14:textId="77777777" w:rsidR="00547B72" w:rsidRPr="000E342B" w:rsidRDefault="00547B72" w:rsidP="00630761">
            <w:pPr>
              <w:spacing w:before="0"/>
            </w:pPr>
          </w:p>
        </w:tc>
        <w:tc>
          <w:tcPr>
            <w:tcW w:w="473" w:type="pct"/>
            <w:shd w:val="clear" w:color="auto" w:fill="D9E2F3" w:themeFill="accent1" w:themeFillTint="33"/>
          </w:tcPr>
          <w:p w14:paraId="3E69E0F4" w14:textId="77777777" w:rsidR="00547B72" w:rsidRPr="000E342B" w:rsidRDefault="00547B72" w:rsidP="00630761">
            <w:pPr>
              <w:spacing w:before="0"/>
              <w:jc w:val="center"/>
            </w:pPr>
            <w:r w:rsidRPr="000E342B">
              <w:t>120(7)</w:t>
            </w:r>
          </w:p>
        </w:tc>
        <w:tc>
          <w:tcPr>
            <w:tcW w:w="384" w:type="pct"/>
            <w:shd w:val="clear" w:color="auto" w:fill="D9D9D9" w:themeFill="background1" w:themeFillShade="D9"/>
          </w:tcPr>
          <w:p w14:paraId="7EE7D438" w14:textId="77777777" w:rsidR="00547B72" w:rsidRPr="000E342B" w:rsidRDefault="00547B72" w:rsidP="00630761">
            <w:pPr>
              <w:spacing w:before="0"/>
              <w:jc w:val="center"/>
            </w:pPr>
            <w:r w:rsidRPr="000E342B">
              <w:t>120 pu</w:t>
            </w:r>
          </w:p>
          <w:p w14:paraId="1EC5518C" w14:textId="77777777" w:rsidR="00547B72" w:rsidRPr="000E342B" w:rsidRDefault="00547B72" w:rsidP="00630761">
            <w:pPr>
              <w:spacing w:before="0"/>
              <w:jc w:val="center"/>
            </w:pPr>
            <w:r w:rsidRPr="000E342B">
              <w:t>$26,640</w:t>
            </w:r>
          </w:p>
        </w:tc>
        <w:tc>
          <w:tcPr>
            <w:tcW w:w="424" w:type="pct"/>
          </w:tcPr>
          <w:p w14:paraId="12D61C3D" w14:textId="77777777" w:rsidR="00547B72" w:rsidRPr="000E342B" w:rsidRDefault="00547B72" w:rsidP="00630761">
            <w:pPr>
              <w:spacing w:before="0"/>
              <w:jc w:val="center"/>
            </w:pPr>
            <w:r w:rsidRPr="000E342B">
              <w:t>300pu</w:t>
            </w:r>
          </w:p>
          <w:p w14:paraId="3B06025D" w14:textId="77777777" w:rsidR="00547B72" w:rsidRPr="000E342B" w:rsidRDefault="00547B72" w:rsidP="00630761">
            <w:pPr>
              <w:spacing w:before="0"/>
              <w:jc w:val="center"/>
            </w:pPr>
            <w:r w:rsidRPr="000E342B">
              <w:t>$66,600</w:t>
            </w:r>
          </w:p>
        </w:tc>
        <w:tc>
          <w:tcPr>
            <w:tcW w:w="429" w:type="pct"/>
            <w:shd w:val="clear" w:color="auto" w:fill="D9D9D9" w:themeFill="background1" w:themeFillShade="D9"/>
          </w:tcPr>
          <w:p w14:paraId="70957815" w14:textId="77777777" w:rsidR="00547B72" w:rsidRPr="000E342B" w:rsidRDefault="00547B72" w:rsidP="00630761">
            <w:pPr>
              <w:spacing w:before="0"/>
              <w:jc w:val="center"/>
            </w:pPr>
            <w:r w:rsidRPr="000E342B">
              <w:t>-</w:t>
            </w:r>
          </w:p>
        </w:tc>
        <w:tc>
          <w:tcPr>
            <w:tcW w:w="491" w:type="pct"/>
          </w:tcPr>
          <w:p w14:paraId="312CB6B7" w14:textId="77777777" w:rsidR="00547B72" w:rsidRPr="000E342B" w:rsidRDefault="00547B72" w:rsidP="00630761">
            <w:pPr>
              <w:spacing w:before="0"/>
              <w:jc w:val="center"/>
            </w:pPr>
            <w:r w:rsidRPr="000E342B">
              <w:t>-</w:t>
            </w:r>
          </w:p>
        </w:tc>
      </w:tr>
      <w:tr w:rsidR="00547B72" w:rsidRPr="000E342B" w14:paraId="1484EBB5" w14:textId="77777777" w:rsidTr="00630761">
        <w:trPr>
          <w:trHeight w:val="560"/>
        </w:trPr>
        <w:tc>
          <w:tcPr>
            <w:tcW w:w="354" w:type="pct"/>
            <w:vMerge w:val="restart"/>
            <w:shd w:val="clear" w:color="auto" w:fill="D9E2F3" w:themeFill="accent1" w:themeFillTint="33"/>
          </w:tcPr>
          <w:p w14:paraId="58E58E7F" w14:textId="77777777" w:rsidR="00547B72" w:rsidRPr="000E342B" w:rsidRDefault="00547B72" w:rsidP="00630761">
            <w:pPr>
              <w:spacing w:before="0"/>
            </w:pPr>
            <w:r w:rsidRPr="000E342B">
              <w:t>121</w:t>
            </w:r>
          </w:p>
        </w:tc>
        <w:tc>
          <w:tcPr>
            <w:tcW w:w="2444" w:type="pct"/>
            <w:vMerge w:val="restart"/>
          </w:tcPr>
          <w:p w14:paraId="7998957F" w14:textId="77777777" w:rsidR="00547B72" w:rsidRPr="000E342B" w:rsidRDefault="00547B72" w:rsidP="00630761">
            <w:pPr>
              <w:spacing w:before="0"/>
            </w:pPr>
            <w:r w:rsidRPr="000E342B">
              <w:t>Person (</w:t>
            </w:r>
            <w:r w:rsidRPr="000E342B">
              <w:rPr>
                <w:i/>
                <w:iCs/>
              </w:rPr>
              <w:t>who provided notice under s 120</w:t>
            </w:r>
            <w:r w:rsidRPr="000E342B">
              <w:t xml:space="preserve">) must provide additional or corrected information where the information provided in the original notice is incomplete or incorrect </w:t>
            </w:r>
          </w:p>
        </w:tc>
        <w:tc>
          <w:tcPr>
            <w:tcW w:w="473" w:type="pct"/>
            <w:shd w:val="clear" w:color="auto" w:fill="D9E2F3" w:themeFill="accent1" w:themeFillTint="33"/>
          </w:tcPr>
          <w:p w14:paraId="6DAC1089" w14:textId="77777777" w:rsidR="00547B72" w:rsidRPr="000E342B" w:rsidRDefault="00547B72" w:rsidP="00630761">
            <w:pPr>
              <w:spacing w:before="0"/>
              <w:jc w:val="center"/>
            </w:pPr>
            <w:r w:rsidRPr="000E342B">
              <w:t>121(3)</w:t>
            </w:r>
          </w:p>
        </w:tc>
        <w:tc>
          <w:tcPr>
            <w:tcW w:w="384" w:type="pct"/>
            <w:shd w:val="clear" w:color="auto" w:fill="D9D9D9" w:themeFill="background1" w:themeFillShade="D9"/>
          </w:tcPr>
          <w:p w14:paraId="7D034B15" w14:textId="77777777" w:rsidR="00547B72" w:rsidRPr="000E342B" w:rsidRDefault="00547B72" w:rsidP="00630761">
            <w:pPr>
              <w:spacing w:before="0"/>
              <w:jc w:val="center"/>
            </w:pPr>
            <w:r w:rsidRPr="000E342B">
              <w:t>-</w:t>
            </w:r>
          </w:p>
        </w:tc>
        <w:tc>
          <w:tcPr>
            <w:tcW w:w="424" w:type="pct"/>
          </w:tcPr>
          <w:p w14:paraId="02645374" w14:textId="77777777" w:rsidR="00547B72" w:rsidRPr="000E342B" w:rsidRDefault="00547B72" w:rsidP="00630761">
            <w:pPr>
              <w:spacing w:before="0"/>
              <w:jc w:val="center"/>
            </w:pPr>
            <w:r w:rsidRPr="000E342B">
              <w:t>-</w:t>
            </w:r>
          </w:p>
        </w:tc>
        <w:tc>
          <w:tcPr>
            <w:tcW w:w="429" w:type="pct"/>
            <w:shd w:val="clear" w:color="auto" w:fill="D9D9D9" w:themeFill="background1" w:themeFillShade="D9"/>
          </w:tcPr>
          <w:p w14:paraId="5DE22F21" w14:textId="77777777" w:rsidR="00547B72" w:rsidRPr="000E342B" w:rsidRDefault="00547B72" w:rsidP="00630761">
            <w:pPr>
              <w:spacing w:before="0"/>
              <w:jc w:val="center"/>
            </w:pPr>
            <w:r w:rsidRPr="000E342B">
              <w:t>120 pu</w:t>
            </w:r>
          </w:p>
          <w:p w14:paraId="4936E25A" w14:textId="77777777" w:rsidR="00547B72" w:rsidRPr="000E342B" w:rsidRDefault="00547B72" w:rsidP="00630761">
            <w:pPr>
              <w:spacing w:before="0"/>
              <w:jc w:val="center"/>
            </w:pPr>
            <w:r w:rsidRPr="000E342B">
              <w:t>$26,640</w:t>
            </w:r>
          </w:p>
        </w:tc>
        <w:tc>
          <w:tcPr>
            <w:tcW w:w="491" w:type="pct"/>
          </w:tcPr>
          <w:p w14:paraId="59966D9C" w14:textId="77777777" w:rsidR="00547B72" w:rsidRPr="000E342B" w:rsidRDefault="00547B72" w:rsidP="00630761">
            <w:pPr>
              <w:spacing w:before="0"/>
              <w:jc w:val="center"/>
            </w:pPr>
            <w:r w:rsidRPr="000E342B">
              <w:t>300 pu</w:t>
            </w:r>
          </w:p>
          <w:p w14:paraId="7AF7EE7B" w14:textId="77777777" w:rsidR="00547B72" w:rsidRPr="000E342B" w:rsidRDefault="00547B72" w:rsidP="00630761">
            <w:pPr>
              <w:spacing w:before="0"/>
              <w:jc w:val="center"/>
            </w:pPr>
            <w:r w:rsidRPr="000E342B">
              <w:t>$66,600</w:t>
            </w:r>
          </w:p>
        </w:tc>
      </w:tr>
      <w:tr w:rsidR="00547B72" w:rsidRPr="000E342B" w14:paraId="4D89FFAC" w14:textId="77777777" w:rsidTr="00630761">
        <w:trPr>
          <w:trHeight w:val="521"/>
        </w:trPr>
        <w:tc>
          <w:tcPr>
            <w:tcW w:w="354" w:type="pct"/>
            <w:vMerge/>
            <w:shd w:val="clear" w:color="auto" w:fill="D9E2F3" w:themeFill="accent1" w:themeFillTint="33"/>
          </w:tcPr>
          <w:p w14:paraId="4A533E85" w14:textId="77777777" w:rsidR="00547B72" w:rsidRPr="000E342B" w:rsidRDefault="00547B72" w:rsidP="00630761">
            <w:pPr>
              <w:spacing w:before="0"/>
            </w:pPr>
          </w:p>
        </w:tc>
        <w:tc>
          <w:tcPr>
            <w:tcW w:w="2444" w:type="pct"/>
            <w:vMerge/>
          </w:tcPr>
          <w:p w14:paraId="76923DE5" w14:textId="77777777" w:rsidR="00547B72" w:rsidRPr="000E342B" w:rsidRDefault="00547B72" w:rsidP="00630761">
            <w:pPr>
              <w:spacing w:before="0"/>
            </w:pPr>
          </w:p>
        </w:tc>
        <w:tc>
          <w:tcPr>
            <w:tcW w:w="473" w:type="pct"/>
            <w:shd w:val="clear" w:color="auto" w:fill="D9E2F3" w:themeFill="accent1" w:themeFillTint="33"/>
          </w:tcPr>
          <w:p w14:paraId="635D6244" w14:textId="77777777" w:rsidR="00547B72" w:rsidRPr="000E342B" w:rsidRDefault="00547B72" w:rsidP="00630761">
            <w:pPr>
              <w:spacing w:before="0"/>
              <w:jc w:val="center"/>
            </w:pPr>
            <w:r w:rsidRPr="000E342B">
              <w:t>121(4)</w:t>
            </w:r>
          </w:p>
        </w:tc>
        <w:tc>
          <w:tcPr>
            <w:tcW w:w="384" w:type="pct"/>
            <w:shd w:val="clear" w:color="auto" w:fill="D9D9D9" w:themeFill="background1" w:themeFillShade="D9"/>
          </w:tcPr>
          <w:p w14:paraId="108FB016" w14:textId="77777777" w:rsidR="00547B72" w:rsidRPr="000E342B" w:rsidRDefault="00547B72" w:rsidP="00630761">
            <w:pPr>
              <w:spacing w:before="0"/>
              <w:jc w:val="center"/>
            </w:pPr>
            <w:r w:rsidRPr="000E342B">
              <w:t>120 pu</w:t>
            </w:r>
          </w:p>
          <w:p w14:paraId="7362E640" w14:textId="77777777" w:rsidR="00547B72" w:rsidRPr="000E342B" w:rsidRDefault="00547B72" w:rsidP="00630761">
            <w:pPr>
              <w:spacing w:before="0"/>
              <w:jc w:val="center"/>
            </w:pPr>
            <w:r w:rsidRPr="000E342B">
              <w:t>$26,640</w:t>
            </w:r>
          </w:p>
        </w:tc>
        <w:tc>
          <w:tcPr>
            <w:tcW w:w="424" w:type="pct"/>
          </w:tcPr>
          <w:p w14:paraId="3428102C" w14:textId="77777777" w:rsidR="00547B72" w:rsidRPr="000E342B" w:rsidRDefault="00547B72" w:rsidP="00630761">
            <w:pPr>
              <w:spacing w:before="0"/>
              <w:jc w:val="center"/>
            </w:pPr>
            <w:r w:rsidRPr="000E342B">
              <w:t>300 pu</w:t>
            </w:r>
          </w:p>
          <w:p w14:paraId="0001499F" w14:textId="77777777" w:rsidR="00547B72" w:rsidRPr="000E342B" w:rsidRDefault="00547B72" w:rsidP="00630761">
            <w:pPr>
              <w:spacing w:before="0"/>
              <w:jc w:val="center"/>
            </w:pPr>
            <w:r w:rsidRPr="000E342B">
              <w:t>$66,600</w:t>
            </w:r>
          </w:p>
        </w:tc>
        <w:tc>
          <w:tcPr>
            <w:tcW w:w="429" w:type="pct"/>
            <w:shd w:val="clear" w:color="auto" w:fill="D9D9D9" w:themeFill="background1" w:themeFillShade="D9"/>
          </w:tcPr>
          <w:p w14:paraId="4C71FFE0" w14:textId="77777777" w:rsidR="00547B72" w:rsidRPr="000E342B" w:rsidRDefault="00547B72" w:rsidP="00630761">
            <w:pPr>
              <w:spacing w:before="0"/>
              <w:jc w:val="center"/>
            </w:pPr>
            <w:r w:rsidRPr="000E342B">
              <w:t>-</w:t>
            </w:r>
          </w:p>
        </w:tc>
        <w:tc>
          <w:tcPr>
            <w:tcW w:w="491" w:type="pct"/>
          </w:tcPr>
          <w:p w14:paraId="4C72072C" w14:textId="77777777" w:rsidR="00547B72" w:rsidRPr="000E342B" w:rsidRDefault="00547B72" w:rsidP="00630761">
            <w:pPr>
              <w:spacing w:before="0"/>
              <w:jc w:val="center"/>
            </w:pPr>
            <w:r w:rsidRPr="000E342B">
              <w:t>-</w:t>
            </w:r>
          </w:p>
        </w:tc>
      </w:tr>
      <w:tr w:rsidR="00547B72" w:rsidRPr="000E342B" w14:paraId="691F7C9C" w14:textId="77777777" w:rsidTr="00630761">
        <w:trPr>
          <w:trHeight w:val="521"/>
        </w:trPr>
        <w:tc>
          <w:tcPr>
            <w:tcW w:w="354" w:type="pct"/>
            <w:vMerge w:val="restart"/>
            <w:shd w:val="clear" w:color="auto" w:fill="D9E2F3" w:themeFill="accent1" w:themeFillTint="33"/>
          </w:tcPr>
          <w:p w14:paraId="42223769" w14:textId="77777777" w:rsidR="00547B72" w:rsidRPr="000E342B" w:rsidRDefault="00547B72" w:rsidP="00630761">
            <w:pPr>
              <w:spacing w:before="0"/>
            </w:pPr>
            <w:r w:rsidRPr="000E342B">
              <w:t>122</w:t>
            </w:r>
          </w:p>
        </w:tc>
        <w:tc>
          <w:tcPr>
            <w:tcW w:w="2444" w:type="pct"/>
            <w:vMerge w:val="restart"/>
          </w:tcPr>
          <w:p w14:paraId="35B48D63" w14:textId="77777777" w:rsidR="00547B72" w:rsidRPr="000E342B" w:rsidRDefault="00547B72" w:rsidP="00630761">
            <w:pPr>
              <w:spacing w:before="0"/>
            </w:pPr>
            <w:r w:rsidRPr="000E342B">
              <w:t>Person (</w:t>
            </w:r>
            <w:r w:rsidRPr="000E342B">
              <w:rPr>
                <w:i/>
                <w:iCs/>
              </w:rPr>
              <w:t>when required to by a biosecurity officer</w:t>
            </w:r>
            <w:r w:rsidRPr="000E342B">
              <w:t xml:space="preserve">) must provide additional information (answer questions and produce documents) in relation to goods that are subject to a notice under s 120, prior to the goods becoming subject to biosecurity control </w:t>
            </w:r>
          </w:p>
        </w:tc>
        <w:tc>
          <w:tcPr>
            <w:tcW w:w="473" w:type="pct"/>
            <w:shd w:val="clear" w:color="auto" w:fill="D9E2F3" w:themeFill="accent1" w:themeFillTint="33"/>
          </w:tcPr>
          <w:p w14:paraId="6AA0EB6D" w14:textId="77777777" w:rsidR="00547B72" w:rsidRPr="000E342B" w:rsidRDefault="00547B72" w:rsidP="00630761">
            <w:pPr>
              <w:spacing w:before="0"/>
              <w:jc w:val="center"/>
            </w:pPr>
            <w:r w:rsidRPr="000E342B">
              <w:t>122(6)</w:t>
            </w:r>
          </w:p>
        </w:tc>
        <w:tc>
          <w:tcPr>
            <w:tcW w:w="384" w:type="pct"/>
            <w:shd w:val="clear" w:color="auto" w:fill="D9D9D9" w:themeFill="background1" w:themeFillShade="D9"/>
          </w:tcPr>
          <w:p w14:paraId="3A7493FB" w14:textId="77777777" w:rsidR="00547B72" w:rsidRPr="000E342B" w:rsidRDefault="00547B72" w:rsidP="00630761">
            <w:pPr>
              <w:spacing w:before="0"/>
              <w:jc w:val="center"/>
            </w:pPr>
            <w:r w:rsidRPr="000E342B">
              <w:t>-</w:t>
            </w:r>
          </w:p>
        </w:tc>
        <w:tc>
          <w:tcPr>
            <w:tcW w:w="424" w:type="pct"/>
          </w:tcPr>
          <w:p w14:paraId="255DE6CB" w14:textId="77777777" w:rsidR="00547B72" w:rsidRPr="000E342B" w:rsidRDefault="00547B72" w:rsidP="00630761">
            <w:pPr>
              <w:spacing w:before="0"/>
              <w:jc w:val="center"/>
            </w:pPr>
            <w:r w:rsidRPr="000E342B">
              <w:t>-</w:t>
            </w:r>
          </w:p>
        </w:tc>
        <w:tc>
          <w:tcPr>
            <w:tcW w:w="429" w:type="pct"/>
            <w:shd w:val="clear" w:color="auto" w:fill="D9D9D9" w:themeFill="background1" w:themeFillShade="D9"/>
          </w:tcPr>
          <w:p w14:paraId="1E6BAEB9" w14:textId="77777777" w:rsidR="00547B72" w:rsidRPr="000E342B" w:rsidRDefault="00547B72" w:rsidP="00630761">
            <w:pPr>
              <w:spacing w:before="0"/>
              <w:jc w:val="center"/>
            </w:pPr>
            <w:r w:rsidRPr="000E342B">
              <w:t>120 pu</w:t>
            </w:r>
          </w:p>
          <w:p w14:paraId="241AB2CB" w14:textId="77777777" w:rsidR="00547B72" w:rsidRPr="000E342B" w:rsidRDefault="00547B72" w:rsidP="00630761">
            <w:pPr>
              <w:spacing w:before="0"/>
              <w:jc w:val="center"/>
            </w:pPr>
            <w:r w:rsidRPr="000E342B">
              <w:t>$26,640</w:t>
            </w:r>
          </w:p>
        </w:tc>
        <w:tc>
          <w:tcPr>
            <w:tcW w:w="491" w:type="pct"/>
          </w:tcPr>
          <w:p w14:paraId="2F49E971" w14:textId="77777777" w:rsidR="00547B72" w:rsidRPr="000E342B" w:rsidRDefault="00547B72" w:rsidP="00630761">
            <w:pPr>
              <w:spacing w:before="0"/>
              <w:jc w:val="center"/>
            </w:pPr>
            <w:r w:rsidRPr="000E342B">
              <w:t>300 pu</w:t>
            </w:r>
          </w:p>
          <w:p w14:paraId="418D69C5" w14:textId="77777777" w:rsidR="00547B72" w:rsidRPr="000E342B" w:rsidRDefault="00547B72" w:rsidP="00630761">
            <w:pPr>
              <w:spacing w:before="0"/>
              <w:jc w:val="center"/>
            </w:pPr>
            <w:r w:rsidRPr="000E342B">
              <w:t>$66,600</w:t>
            </w:r>
          </w:p>
        </w:tc>
      </w:tr>
      <w:tr w:rsidR="00547B72" w:rsidRPr="000E342B" w14:paraId="3FD3AD26" w14:textId="77777777" w:rsidTr="00630761">
        <w:trPr>
          <w:trHeight w:val="521"/>
        </w:trPr>
        <w:tc>
          <w:tcPr>
            <w:tcW w:w="354" w:type="pct"/>
            <w:vMerge/>
            <w:shd w:val="clear" w:color="auto" w:fill="D9E2F3" w:themeFill="accent1" w:themeFillTint="33"/>
          </w:tcPr>
          <w:p w14:paraId="77FC68E6" w14:textId="77777777" w:rsidR="00547B72" w:rsidRPr="000E342B" w:rsidRDefault="00547B72" w:rsidP="00630761">
            <w:pPr>
              <w:spacing w:before="0"/>
            </w:pPr>
          </w:p>
        </w:tc>
        <w:tc>
          <w:tcPr>
            <w:tcW w:w="2444" w:type="pct"/>
            <w:vMerge/>
          </w:tcPr>
          <w:p w14:paraId="295145E7" w14:textId="77777777" w:rsidR="00547B72" w:rsidRPr="000E342B" w:rsidRDefault="00547B72" w:rsidP="00630761">
            <w:pPr>
              <w:spacing w:before="0"/>
            </w:pPr>
          </w:p>
        </w:tc>
        <w:tc>
          <w:tcPr>
            <w:tcW w:w="473" w:type="pct"/>
            <w:shd w:val="clear" w:color="auto" w:fill="D9E2F3" w:themeFill="accent1" w:themeFillTint="33"/>
          </w:tcPr>
          <w:p w14:paraId="2DF37C9F" w14:textId="77777777" w:rsidR="00547B72" w:rsidRPr="000E342B" w:rsidRDefault="00547B72" w:rsidP="00630761">
            <w:pPr>
              <w:spacing w:before="0"/>
              <w:jc w:val="center"/>
            </w:pPr>
            <w:r w:rsidRPr="000E342B">
              <w:t>122(7)</w:t>
            </w:r>
          </w:p>
        </w:tc>
        <w:tc>
          <w:tcPr>
            <w:tcW w:w="384" w:type="pct"/>
            <w:shd w:val="clear" w:color="auto" w:fill="D9D9D9" w:themeFill="background1" w:themeFillShade="D9"/>
          </w:tcPr>
          <w:p w14:paraId="7100A119" w14:textId="77777777" w:rsidR="00547B72" w:rsidRPr="000E342B" w:rsidRDefault="00547B72" w:rsidP="00630761">
            <w:pPr>
              <w:spacing w:before="0"/>
              <w:jc w:val="center"/>
            </w:pPr>
            <w:r w:rsidRPr="000E342B">
              <w:t>120 pu</w:t>
            </w:r>
          </w:p>
          <w:p w14:paraId="403124E8" w14:textId="77777777" w:rsidR="00547B72" w:rsidRPr="000E342B" w:rsidRDefault="00547B72" w:rsidP="00630761">
            <w:pPr>
              <w:spacing w:before="0"/>
              <w:jc w:val="center"/>
            </w:pPr>
            <w:r w:rsidRPr="000E342B">
              <w:t>$26,640</w:t>
            </w:r>
          </w:p>
        </w:tc>
        <w:tc>
          <w:tcPr>
            <w:tcW w:w="424" w:type="pct"/>
          </w:tcPr>
          <w:p w14:paraId="3861B69E" w14:textId="77777777" w:rsidR="00547B72" w:rsidRPr="000E342B" w:rsidRDefault="00547B72" w:rsidP="00630761">
            <w:pPr>
              <w:spacing w:before="0"/>
              <w:jc w:val="center"/>
            </w:pPr>
            <w:r w:rsidRPr="000E342B">
              <w:t>300 pu</w:t>
            </w:r>
          </w:p>
          <w:p w14:paraId="17A7992D" w14:textId="77777777" w:rsidR="00547B72" w:rsidRPr="000E342B" w:rsidRDefault="00547B72" w:rsidP="00630761">
            <w:pPr>
              <w:spacing w:before="0"/>
              <w:jc w:val="center"/>
            </w:pPr>
            <w:r w:rsidRPr="000E342B">
              <w:t>$66,600</w:t>
            </w:r>
          </w:p>
        </w:tc>
        <w:tc>
          <w:tcPr>
            <w:tcW w:w="429" w:type="pct"/>
            <w:shd w:val="clear" w:color="auto" w:fill="D9D9D9" w:themeFill="background1" w:themeFillShade="D9"/>
          </w:tcPr>
          <w:p w14:paraId="13AC1BA8" w14:textId="77777777" w:rsidR="00547B72" w:rsidRPr="000E342B" w:rsidRDefault="00547B72" w:rsidP="00630761">
            <w:pPr>
              <w:spacing w:before="0"/>
              <w:jc w:val="center"/>
            </w:pPr>
            <w:r w:rsidRPr="000E342B">
              <w:t>-</w:t>
            </w:r>
          </w:p>
        </w:tc>
        <w:tc>
          <w:tcPr>
            <w:tcW w:w="491" w:type="pct"/>
          </w:tcPr>
          <w:p w14:paraId="4CADBA5F" w14:textId="77777777" w:rsidR="00547B72" w:rsidRPr="000E342B" w:rsidRDefault="00547B72" w:rsidP="00630761">
            <w:pPr>
              <w:spacing w:before="0"/>
              <w:jc w:val="center"/>
            </w:pPr>
            <w:r w:rsidRPr="000E342B">
              <w:t>-</w:t>
            </w:r>
          </w:p>
        </w:tc>
      </w:tr>
      <w:tr w:rsidR="00547B72" w:rsidRPr="000E342B" w14:paraId="3552CDCB" w14:textId="77777777" w:rsidTr="00630761">
        <w:trPr>
          <w:cantSplit/>
          <w:tblHeader/>
        </w:trPr>
        <w:tc>
          <w:tcPr>
            <w:tcW w:w="5000" w:type="pct"/>
            <w:gridSpan w:val="7"/>
            <w:shd w:val="clear" w:color="auto" w:fill="D9E2F3" w:themeFill="accent1" w:themeFillTint="33"/>
          </w:tcPr>
          <w:p w14:paraId="36A64E17" w14:textId="77777777" w:rsidR="00547B72" w:rsidRPr="000E342B" w:rsidRDefault="00547B72" w:rsidP="00630761">
            <w:pPr>
              <w:spacing w:before="0"/>
              <w:rPr>
                <w:b/>
                <w:bCs/>
              </w:rPr>
            </w:pPr>
            <w:bookmarkStart w:id="1" w:name="_Hlk112666034"/>
            <w:r w:rsidRPr="000E342B">
              <w:rPr>
                <w:b/>
                <w:bCs/>
              </w:rPr>
              <w:t>Chapter 3 – Managing biosecurity risks: goods</w:t>
            </w:r>
          </w:p>
          <w:p w14:paraId="250EA68B" w14:textId="77777777" w:rsidR="00547B72" w:rsidRPr="000E342B" w:rsidRDefault="00547B72" w:rsidP="00630761">
            <w:pPr>
              <w:spacing w:before="0"/>
              <w:rPr>
                <w:b/>
                <w:bCs/>
              </w:rPr>
            </w:pPr>
            <w:r w:rsidRPr="000E342B">
              <w:rPr>
                <w:b/>
                <w:bCs/>
              </w:rPr>
              <w:t>Part 1 – Goods brought into Australian territory</w:t>
            </w:r>
          </w:p>
          <w:p w14:paraId="3E17E256" w14:textId="77777777" w:rsidR="00547B72" w:rsidRPr="000E342B" w:rsidRDefault="00547B72" w:rsidP="00630761">
            <w:pPr>
              <w:spacing w:before="0"/>
              <w:rPr>
                <w:b/>
                <w:bCs/>
                <w:sz w:val="18"/>
                <w:szCs w:val="18"/>
                <w:lang w:eastAsia="ja-JP"/>
              </w:rPr>
            </w:pPr>
            <w:r w:rsidRPr="000E342B">
              <w:rPr>
                <w:b/>
                <w:bCs/>
              </w:rPr>
              <w:t>Division 6 – Unloading goods at landing places or ports</w:t>
            </w:r>
            <w:bookmarkEnd w:id="1"/>
          </w:p>
        </w:tc>
      </w:tr>
      <w:tr w:rsidR="00547B72" w:rsidRPr="000E342B" w14:paraId="185F54B1" w14:textId="77777777" w:rsidTr="00630761">
        <w:trPr>
          <w:cantSplit/>
          <w:tblHeader/>
        </w:trPr>
        <w:tc>
          <w:tcPr>
            <w:tcW w:w="354" w:type="pct"/>
            <w:vMerge w:val="restart"/>
            <w:shd w:val="clear" w:color="auto" w:fill="D9E2F3" w:themeFill="accent1" w:themeFillTint="33"/>
          </w:tcPr>
          <w:p w14:paraId="44ADA256" w14:textId="77777777" w:rsidR="00547B72" w:rsidRPr="000E342B" w:rsidRDefault="00547B72" w:rsidP="00630761">
            <w:pPr>
              <w:spacing w:before="0"/>
              <w:rPr>
                <w:b/>
                <w:bCs/>
                <w:sz w:val="18"/>
                <w:szCs w:val="18"/>
                <w:lang w:eastAsia="ja-JP"/>
              </w:rPr>
            </w:pPr>
            <w:r w:rsidRPr="000E342B">
              <w:t>143</w:t>
            </w:r>
          </w:p>
        </w:tc>
        <w:tc>
          <w:tcPr>
            <w:tcW w:w="2444" w:type="pct"/>
            <w:vMerge w:val="restart"/>
            <w:shd w:val="clear" w:color="auto" w:fill="auto"/>
          </w:tcPr>
          <w:p w14:paraId="0F85FBE4" w14:textId="77777777" w:rsidR="00547B72" w:rsidRDefault="00547B72" w:rsidP="00630761">
            <w:pPr>
              <w:spacing w:before="0"/>
            </w:pPr>
            <w:r w:rsidRPr="000E342B">
              <w:t xml:space="preserve">Person in charge of an aircraft or vessel must comply with a direction given by a biosecurity officer relating to the unloading of the goods from the aircraft or vessel </w:t>
            </w:r>
          </w:p>
          <w:p w14:paraId="532931C1" w14:textId="77777777" w:rsidR="006D1AD5" w:rsidRDefault="006D1AD5" w:rsidP="00630761">
            <w:pPr>
              <w:spacing w:before="0"/>
              <w:rPr>
                <w:b/>
                <w:bCs/>
              </w:rPr>
            </w:pPr>
          </w:p>
          <w:p w14:paraId="6E855ECE" w14:textId="77777777" w:rsidR="006D1AD5" w:rsidRDefault="006D1AD5" w:rsidP="00630761">
            <w:pPr>
              <w:spacing w:before="0"/>
              <w:rPr>
                <w:b/>
                <w:bCs/>
              </w:rPr>
            </w:pPr>
          </w:p>
          <w:p w14:paraId="5439A2EB" w14:textId="6E66883C" w:rsidR="006D1AD5" w:rsidRPr="000E342B" w:rsidRDefault="006D1AD5" w:rsidP="00630761">
            <w:pPr>
              <w:spacing w:before="0"/>
              <w:rPr>
                <w:b/>
                <w:bCs/>
                <w:sz w:val="18"/>
                <w:szCs w:val="18"/>
                <w:lang w:eastAsia="ja-JP"/>
              </w:rPr>
            </w:pPr>
          </w:p>
        </w:tc>
        <w:tc>
          <w:tcPr>
            <w:tcW w:w="473" w:type="pct"/>
            <w:shd w:val="clear" w:color="auto" w:fill="D9E2F3" w:themeFill="accent1" w:themeFillTint="33"/>
          </w:tcPr>
          <w:p w14:paraId="422BFDDE" w14:textId="77777777" w:rsidR="00547B72" w:rsidRPr="000E342B" w:rsidRDefault="00547B72" w:rsidP="00630761">
            <w:pPr>
              <w:spacing w:before="0"/>
              <w:jc w:val="center"/>
              <w:rPr>
                <w:b/>
                <w:bCs/>
                <w:sz w:val="18"/>
                <w:szCs w:val="18"/>
                <w:lang w:eastAsia="ja-JP"/>
              </w:rPr>
            </w:pPr>
            <w:r w:rsidRPr="000E342B">
              <w:t>143(5)</w:t>
            </w:r>
          </w:p>
        </w:tc>
        <w:tc>
          <w:tcPr>
            <w:tcW w:w="384" w:type="pct"/>
            <w:shd w:val="clear" w:color="auto" w:fill="D9D9D9" w:themeFill="background1" w:themeFillShade="D9"/>
          </w:tcPr>
          <w:p w14:paraId="2CB70817"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04BE170D"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0B870626" w14:textId="77777777" w:rsidR="00547B72" w:rsidRPr="000E342B" w:rsidRDefault="00547B72" w:rsidP="00630761">
            <w:pPr>
              <w:spacing w:before="0"/>
              <w:jc w:val="center"/>
            </w:pPr>
            <w:r w:rsidRPr="000E342B">
              <w:t>300 pu</w:t>
            </w:r>
          </w:p>
          <w:p w14:paraId="56038AAA"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60EB71B3"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4375C6FB"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4FE9D001" w14:textId="77777777" w:rsidTr="00630761">
        <w:trPr>
          <w:cantSplit/>
          <w:tblHeader/>
        </w:trPr>
        <w:tc>
          <w:tcPr>
            <w:tcW w:w="354" w:type="pct"/>
            <w:vMerge/>
            <w:shd w:val="clear" w:color="auto" w:fill="D9E2F3" w:themeFill="accent1" w:themeFillTint="33"/>
          </w:tcPr>
          <w:p w14:paraId="1C40C50C" w14:textId="77777777" w:rsidR="00547B72" w:rsidRPr="000E342B" w:rsidRDefault="00547B72" w:rsidP="00630761">
            <w:pPr>
              <w:spacing w:before="0"/>
              <w:rPr>
                <w:b/>
                <w:bCs/>
                <w:sz w:val="18"/>
                <w:szCs w:val="18"/>
                <w:lang w:eastAsia="ja-JP"/>
              </w:rPr>
            </w:pPr>
          </w:p>
        </w:tc>
        <w:tc>
          <w:tcPr>
            <w:tcW w:w="2444" w:type="pct"/>
            <w:vMerge/>
            <w:shd w:val="clear" w:color="auto" w:fill="auto"/>
          </w:tcPr>
          <w:p w14:paraId="7BD4206B"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13EC9884" w14:textId="77777777" w:rsidR="00547B72" w:rsidRPr="000E342B" w:rsidRDefault="00547B72" w:rsidP="00630761">
            <w:pPr>
              <w:spacing w:before="0"/>
              <w:jc w:val="center"/>
              <w:rPr>
                <w:b/>
                <w:bCs/>
                <w:sz w:val="18"/>
                <w:szCs w:val="18"/>
                <w:lang w:eastAsia="ja-JP"/>
              </w:rPr>
            </w:pPr>
            <w:r w:rsidRPr="000E342B">
              <w:t>143(6)</w:t>
            </w:r>
          </w:p>
        </w:tc>
        <w:tc>
          <w:tcPr>
            <w:tcW w:w="384" w:type="pct"/>
            <w:shd w:val="clear" w:color="auto" w:fill="D9D9D9" w:themeFill="background1" w:themeFillShade="D9"/>
          </w:tcPr>
          <w:p w14:paraId="76A3CC4D" w14:textId="77777777" w:rsidR="00547B72" w:rsidRPr="000E342B" w:rsidRDefault="00547B72" w:rsidP="00630761">
            <w:pPr>
              <w:spacing w:before="0"/>
              <w:jc w:val="center"/>
            </w:pPr>
            <w:r w:rsidRPr="000E342B">
              <w:t>120 pu</w:t>
            </w:r>
          </w:p>
          <w:p w14:paraId="04E1A9B3" w14:textId="77777777" w:rsidR="00547B72" w:rsidRPr="000E342B" w:rsidRDefault="00547B72" w:rsidP="00630761">
            <w:pPr>
              <w:spacing w:before="0"/>
              <w:jc w:val="center"/>
              <w:rPr>
                <w:b/>
                <w:bCs/>
                <w:sz w:val="18"/>
                <w:szCs w:val="18"/>
                <w:lang w:eastAsia="ja-JP"/>
              </w:rPr>
            </w:pPr>
            <w:r w:rsidRPr="000E342B">
              <w:t>$26,640</w:t>
            </w:r>
          </w:p>
        </w:tc>
        <w:tc>
          <w:tcPr>
            <w:tcW w:w="424" w:type="pct"/>
            <w:shd w:val="clear" w:color="auto" w:fill="auto"/>
          </w:tcPr>
          <w:p w14:paraId="6037F817" w14:textId="77777777" w:rsidR="00547B72" w:rsidRPr="000E342B" w:rsidRDefault="00547B72" w:rsidP="00630761">
            <w:pPr>
              <w:spacing w:before="0"/>
              <w:jc w:val="center"/>
            </w:pPr>
            <w:r w:rsidRPr="000E342B">
              <w:t>300 pu</w:t>
            </w:r>
          </w:p>
          <w:p w14:paraId="5E356FCF" w14:textId="77777777" w:rsidR="00547B72" w:rsidRPr="000E342B" w:rsidRDefault="00547B72" w:rsidP="00630761">
            <w:pPr>
              <w:spacing w:before="0"/>
              <w:jc w:val="center"/>
              <w:rPr>
                <w:b/>
                <w:bCs/>
                <w:sz w:val="18"/>
                <w:szCs w:val="18"/>
                <w:lang w:eastAsia="ja-JP"/>
              </w:rPr>
            </w:pPr>
            <w:r w:rsidRPr="000E342B">
              <w:t>$66,600</w:t>
            </w:r>
          </w:p>
        </w:tc>
        <w:tc>
          <w:tcPr>
            <w:tcW w:w="429" w:type="pct"/>
            <w:shd w:val="clear" w:color="auto" w:fill="D9D9D9" w:themeFill="background1" w:themeFillShade="D9"/>
          </w:tcPr>
          <w:p w14:paraId="430F2FCA" w14:textId="77777777" w:rsidR="00547B72" w:rsidRPr="000E342B" w:rsidRDefault="00547B72" w:rsidP="00630761">
            <w:pPr>
              <w:spacing w:before="0"/>
              <w:jc w:val="center"/>
              <w:rPr>
                <w:b/>
                <w:bCs/>
                <w:sz w:val="18"/>
                <w:szCs w:val="18"/>
                <w:lang w:eastAsia="ja-JP"/>
              </w:rPr>
            </w:pPr>
            <w:r w:rsidRPr="000E342B">
              <w:t>-</w:t>
            </w:r>
          </w:p>
        </w:tc>
        <w:tc>
          <w:tcPr>
            <w:tcW w:w="491" w:type="pct"/>
            <w:shd w:val="clear" w:color="auto" w:fill="auto"/>
          </w:tcPr>
          <w:p w14:paraId="38A93F2F" w14:textId="77777777" w:rsidR="00547B72" w:rsidRPr="000E342B" w:rsidRDefault="00547B72" w:rsidP="00630761">
            <w:pPr>
              <w:spacing w:before="0"/>
              <w:jc w:val="center"/>
              <w:rPr>
                <w:b/>
                <w:bCs/>
                <w:sz w:val="18"/>
                <w:szCs w:val="18"/>
                <w:lang w:eastAsia="ja-JP"/>
              </w:rPr>
            </w:pPr>
          </w:p>
        </w:tc>
      </w:tr>
      <w:tr w:rsidR="00547B72" w:rsidRPr="000E342B" w14:paraId="0EE2F47B" w14:textId="77777777" w:rsidTr="00630761">
        <w:trPr>
          <w:cantSplit/>
          <w:tblHeader/>
        </w:trPr>
        <w:tc>
          <w:tcPr>
            <w:tcW w:w="354" w:type="pct"/>
            <w:vMerge w:val="restart"/>
            <w:shd w:val="clear" w:color="auto" w:fill="D9E2F3" w:themeFill="accent1" w:themeFillTint="33"/>
          </w:tcPr>
          <w:p w14:paraId="57DD9FB6" w14:textId="77777777" w:rsidR="00547B72" w:rsidRPr="000E342B" w:rsidRDefault="00547B72" w:rsidP="00630761">
            <w:pPr>
              <w:spacing w:before="0"/>
              <w:rPr>
                <w:b/>
                <w:bCs/>
                <w:sz w:val="18"/>
                <w:szCs w:val="18"/>
                <w:lang w:eastAsia="ja-JP"/>
              </w:rPr>
            </w:pPr>
            <w:r w:rsidRPr="000E342B">
              <w:lastRenderedPageBreak/>
              <w:t>144</w:t>
            </w:r>
          </w:p>
        </w:tc>
        <w:tc>
          <w:tcPr>
            <w:tcW w:w="2444" w:type="pct"/>
            <w:vMerge w:val="restart"/>
            <w:shd w:val="clear" w:color="auto" w:fill="auto"/>
          </w:tcPr>
          <w:p w14:paraId="6C44F1CA" w14:textId="77777777" w:rsidR="00547B72" w:rsidRPr="000E342B" w:rsidRDefault="00547B72" w:rsidP="00630761">
            <w:pPr>
              <w:spacing w:before="0"/>
              <w:rPr>
                <w:b/>
                <w:bCs/>
                <w:sz w:val="18"/>
                <w:szCs w:val="18"/>
                <w:lang w:eastAsia="ja-JP"/>
              </w:rPr>
            </w:pPr>
            <w:r w:rsidRPr="000E342B">
              <w:t xml:space="preserve">Person must comply with a direction given by a biosecurity officer or person in charge of an aircraft or vessel relating to the unloading of goods from the aircraft or vessel </w:t>
            </w:r>
          </w:p>
        </w:tc>
        <w:tc>
          <w:tcPr>
            <w:tcW w:w="473" w:type="pct"/>
            <w:shd w:val="clear" w:color="auto" w:fill="D9E2F3" w:themeFill="accent1" w:themeFillTint="33"/>
          </w:tcPr>
          <w:p w14:paraId="2BFCC912" w14:textId="77777777" w:rsidR="00547B72" w:rsidRPr="000E342B" w:rsidRDefault="00547B72" w:rsidP="00630761">
            <w:pPr>
              <w:spacing w:before="0"/>
              <w:jc w:val="center"/>
              <w:rPr>
                <w:b/>
                <w:bCs/>
                <w:sz w:val="18"/>
                <w:szCs w:val="18"/>
                <w:lang w:eastAsia="ja-JP"/>
              </w:rPr>
            </w:pPr>
            <w:r w:rsidRPr="000E342B">
              <w:t>144(6)</w:t>
            </w:r>
          </w:p>
        </w:tc>
        <w:tc>
          <w:tcPr>
            <w:tcW w:w="384" w:type="pct"/>
            <w:shd w:val="clear" w:color="auto" w:fill="D9D9D9" w:themeFill="background1" w:themeFillShade="D9"/>
          </w:tcPr>
          <w:p w14:paraId="1BBA8697"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5DCA1A88"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2D68BEC8" w14:textId="77777777" w:rsidR="00547B72" w:rsidRPr="000E342B" w:rsidRDefault="00547B72" w:rsidP="00630761">
            <w:pPr>
              <w:spacing w:before="0"/>
              <w:jc w:val="center"/>
            </w:pPr>
            <w:r w:rsidRPr="000E342B">
              <w:t>300 pu</w:t>
            </w:r>
          </w:p>
          <w:p w14:paraId="266BBD4C"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0E49E0C2"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43402547"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50100FC3" w14:textId="77777777" w:rsidTr="00630761">
        <w:trPr>
          <w:cantSplit/>
          <w:tblHeader/>
        </w:trPr>
        <w:tc>
          <w:tcPr>
            <w:tcW w:w="354" w:type="pct"/>
            <w:vMerge/>
            <w:shd w:val="clear" w:color="auto" w:fill="D9E2F3" w:themeFill="accent1" w:themeFillTint="33"/>
          </w:tcPr>
          <w:p w14:paraId="33C9C470" w14:textId="77777777" w:rsidR="00547B72" w:rsidRPr="000E342B" w:rsidRDefault="00547B72" w:rsidP="00630761">
            <w:pPr>
              <w:spacing w:before="0"/>
              <w:rPr>
                <w:b/>
                <w:bCs/>
                <w:sz w:val="18"/>
                <w:szCs w:val="18"/>
                <w:lang w:eastAsia="ja-JP"/>
              </w:rPr>
            </w:pPr>
          </w:p>
        </w:tc>
        <w:tc>
          <w:tcPr>
            <w:tcW w:w="2444" w:type="pct"/>
            <w:vMerge/>
            <w:shd w:val="clear" w:color="auto" w:fill="auto"/>
          </w:tcPr>
          <w:p w14:paraId="5E81C78A"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33D0E495" w14:textId="77777777" w:rsidR="00547B72" w:rsidRPr="000E342B" w:rsidRDefault="00547B72" w:rsidP="00630761">
            <w:pPr>
              <w:spacing w:before="0"/>
              <w:jc w:val="center"/>
              <w:rPr>
                <w:b/>
                <w:bCs/>
                <w:sz w:val="18"/>
                <w:szCs w:val="18"/>
                <w:lang w:eastAsia="ja-JP"/>
              </w:rPr>
            </w:pPr>
            <w:r w:rsidRPr="000E342B">
              <w:t>144(7)</w:t>
            </w:r>
          </w:p>
        </w:tc>
        <w:tc>
          <w:tcPr>
            <w:tcW w:w="384" w:type="pct"/>
            <w:shd w:val="clear" w:color="auto" w:fill="D9D9D9" w:themeFill="background1" w:themeFillShade="D9"/>
          </w:tcPr>
          <w:p w14:paraId="6FDDEDBC" w14:textId="77777777" w:rsidR="00547B72" w:rsidRPr="000E342B" w:rsidRDefault="00547B72" w:rsidP="00630761">
            <w:pPr>
              <w:spacing w:before="0"/>
              <w:jc w:val="center"/>
            </w:pPr>
            <w:r w:rsidRPr="000E342B">
              <w:t>120 pu</w:t>
            </w:r>
          </w:p>
          <w:p w14:paraId="2FF63BAF" w14:textId="77777777" w:rsidR="00547B72" w:rsidRPr="000E342B" w:rsidRDefault="00547B72" w:rsidP="00630761">
            <w:pPr>
              <w:spacing w:before="0"/>
              <w:jc w:val="center"/>
              <w:rPr>
                <w:b/>
                <w:bCs/>
                <w:sz w:val="18"/>
                <w:szCs w:val="18"/>
                <w:lang w:eastAsia="ja-JP"/>
              </w:rPr>
            </w:pPr>
            <w:r w:rsidRPr="000E342B">
              <w:t>$26,640</w:t>
            </w:r>
          </w:p>
        </w:tc>
        <w:tc>
          <w:tcPr>
            <w:tcW w:w="424" w:type="pct"/>
            <w:shd w:val="clear" w:color="auto" w:fill="auto"/>
          </w:tcPr>
          <w:p w14:paraId="145C821E" w14:textId="77777777" w:rsidR="00547B72" w:rsidRPr="000E342B" w:rsidRDefault="00547B72" w:rsidP="00630761">
            <w:pPr>
              <w:spacing w:before="0"/>
              <w:jc w:val="center"/>
            </w:pPr>
            <w:r w:rsidRPr="000E342B">
              <w:t>300 pu</w:t>
            </w:r>
          </w:p>
          <w:p w14:paraId="3BF86EB3" w14:textId="77777777" w:rsidR="00547B72" w:rsidRPr="000E342B" w:rsidRDefault="00547B72" w:rsidP="00630761">
            <w:pPr>
              <w:spacing w:before="0"/>
              <w:jc w:val="center"/>
              <w:rPr>
                <w:b/>
                <w:bCs/>
                <w:sz w:val="18"/>
                <w:szCs w:val="18"/>
                <w:lang w:eastAsia="ja-JP"/>
              </w:rPr>
            </w:pPr>
            <w:r w:rsidRPr="000E342B">
              <w:t>$66,600</w:t>
            </w:r>
          </w:p>
        </w:tc>
        <w:tc>
          <w:tcPr>
            <w:tcW w:w="429" w:type="pct"/>
            <w:shd w:val="clear" w:color="auto" w:fill="D9D9D9" w:themeFill="background1" w:themeFillShade="D9"/>
          </w:tcPr>
          <w:p w14:paraId="44BB8C8A" w14:textId="77777777" w:rsidR="00547B72" w:rsidRPr="000E342B" w:rsidRDefault="00547B72" w:rsidP="00630761">
            <w:pPr>
              <w:spacing w:before="0"/>
              <w:jc w:val="center"/>
              <w:rPr>
                <w:b/>
                <w:bCs/>
                <w:sz w:val="18"/>
                <w:szCs w:val="18"/>
                <w:lang w:eastAsia="ja-JP"/>
              </w:rPr>
            </w:pPr>
            <w:r w:rsidRPr="000E342B">
              <w:t>-</w:t>
            </w:r>
          </w:p>
        </w:tc>
        <w:tc>
          <w:tcPr>
            <w:tcW w:w="491" w:type="pct"/>
            <w:shd w:val="clear" w:color="auto" w:fill="auto"/>
          </w:tcPr>
          <w:p w14:paraId="6A0B56DB" w14:textId="77777777" w:rsidR="00547B72" w:rsidRPr="000E342B" w:rsidRDefault="00547B72" w:rsidP="00630761">
            <w:pPr>
              <w:spacing w:before="0"/>
              <w:jc w:val="center"/>
              <w:rPr>
                <w:b/>
                <w:bCs/>
                <w:sz w:val="18"/>
                <w:szCs w:val="18"/>
                <w:lang w:eastAsia="ja-JP"/>
              </w:rPr>
            </w:pPr>
          </w:p>
        </w:tc>
      </w:tr>
      <w:tr w:rsidR="00547B72" w:rsidRPr="000E342B" w14:paraId="5234A8EA" w14:textId="77777777" w:rsidTr="00630761">
        <w:trPr>
          <w:cantSplit/>
          <w:tblHeader/>
        </w:trPr>
        <w:tc>
          <w:tcPr>
            <w:tcW w:w="354" w:type="pct"/>
            <w:vMerge w:val="restart"/>
            <w:shd w:val="clear" w:color="auto" w:fill="D9E2F3" w:themeFill="accent1" w:themeFillTint="33"/>
          </w:tcPr>
          <w:p w14:paraId="13397D84" w14:textId="77777777" w:rsidR="00547B72" w:rsidRPr="000E342B" w:rsidRDefault="00547B72" w:rsidP="00630761">
            <w:pPr>
              <w:spacing w:before="0"/>
              <w:rPr>
                <w:b/>
                <w:bCs/>
                <w:sz w:val="18"/>
                <w:szCs w:val="18"/>
                <w:lang w:eastAsia="ja-JP"/>
              </w:rPr>
            </w:pPr>
            <w:r w:rsidRPr="000E342B">
              <w:t>145</w:t>
            </w:r>
          </w:p>
        </w:tc>
        <w:tc>
          <w:tcPr>
            <w:tcW w:w="2444" w:type="pct"/>
            <w:vMerge w:val="restart"/>
            <w:shd w:val="clear" w:color="auto" w:fill="auto"/>
          </w:tcPr>
          <w:p w14:paraId="1F90E3FB" w14:textId="77777777" w:rsidR="00547B72" w:rsidRPr="000E342B" w:rsidRDefault="00547B72" w:rsidP="00630761">
            <w:pPr>
              <w:spacing w:before="0"/>
              <w:rPr>
                <w:b/>
                <w:bCs/>
                <w:sz w:val="18"/>
                <w:szCs w:val="18"/>
                <w:lang w:eastAsia="ja-JP"/>
              </w:rPr>
            </w:pPr>
            <w:r w:rsidRPr="000E342B">
              <w:t xml:space="preserve">Person in charge of an aircraft of vessel must not allow the goods to be unloaded from the aircraft or vessel at a landing place or port that is not a first point of entry </w:t>
            </w:r>
          </w:p>
        </w:tc>
        <w:tc>
          <w:tcPr>
            <w:tcW w:w="473" w:type="pct"/>
            <w:shd w:val="clear" w:color="auto" w:fill="D9E2F3" w:themeFill="accent1" w:themeFillTint="33"/>
          </w:tcPr>
          <w:p w14:paraId="1486E269" w14:textId="77777777" w:rsidR="00547B72" w:rsidRPr="000E342B" w:rsidRDefault="00547B72" w:rsidP="00630761">
            <w:pPr>
              <w:spacing w:before="0"/>
              <w:jc w:val="center"/>
              <w:rPr>
                <w:b/>
                <w:bCs/>
                <w:sz w:val="18"/>
                <w:szCs w:val="18"/>
                <w:lang w:eastAsia="ja-JP"/>
              </w:rPr>
            </w:pPr>
            <w:r w:rsidRPr="000E342B">
              <w:t>145(2)</w:t>
            </w:r>
          </w:p>
        </w:tc>
        <w:tc>
          <w:tcPr>
            <w:tcW w:w="384" w:type="pct"/>
            <w:shd w:val="clear" w:color="auto" w:fill="D9D9D9" w:themeFill="background1" w:themeFillShade="D9"/>
          </w:tcPr>
          <w:p w14:paraId="15A8A1E6"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0157C089"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1E82024A" w14:textId="77777777" w:rsidR="00547B72" w:rsidRPr="000E342B" w:rsidRDefault="00547B72" w:rsidP="00630761">
            <w:pPr>
              <w:spacing w:before="0"/>
              <w:jc w:val="center"/>
            </w:pPr>
            <w:r w:rsidRPr="000E342B">
              <w:t>300 pu</w:t>
            </w:r>
          </w:p>
          <w:p w14:paraId="7C9EA566"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6D3C418F"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3BAC0B27"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265953F0" w14:textId="77777777" w:rsidTr="00630761">
        <w:trPr>
          <w:cantSplit/>
          <w:tblHeader/>
        </w:trPr>
        <w:tc>
          <w:tcPr>
            <w:tcW w:w="354" w:type="pct"/>
            <w:vMerge/>
            <w:shd w:val="clear" w:color="auto" w:fill="D9E2F3" w:themeFill="accent1" w:themeFillTint="33"/>
          </w:tcPr>
          <w:p w14:paraId="4940F95E" w14:textId="77777777" w:rsidR="00547B72" w:rsidRPr="000E342B" w:rsidRDefault="00547B72" w:rsidP="00630761">
            <w:pPr>
              <w:spacing w:before="0"/>
              <w:rPr>
                <w:b/>
                <w:bCs/>
                <w:sz w:val="18"/>
                <w:szCs w:val="18"/>
                <w:lang w:eastAsia="ja-JP"/>
              </w:rPr>
            </w:pPr>
          </w:p>
        </w:tc>
        <w:tc>
          <w:tcPr>
            <w:tcW w:w="2444" w:type="pct"/>
            <w:vMerge/>
            <w:shd w:val="clear" w:color="auto" w:fill="auto"/>
          </w:tcPr>
          <w:p w14:paraId="5CAB5540"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33F26ABE" w14:textId="77777777" w:rsidR="00547B72" w:rsidRPr="000E342B" w:rsidRDefault="00547B72" w:rsidP="00630761">
            <w:pPr>
              <w:spacing w:before="0"/>
              <w:jc w:val="center"/>
              <w:rPr>
                <w:b/>
                <w:bCs/>
                <w:sz w:val="18"/>
                <w:szCs w:val="18"/>
                <w:lang w:eastAsia="ja-JP"/>
              </w:rPr>
            </w:pPr>
            <w:r w:rsidRPr="000E342B">
              <w:t>145(3)</w:t>
            </w:r>
          </w:p>
        </w:tc>
        <w:tc>
          <w:tcPr>
            <w:tcW w:w="384" w:type="pct"/>
            <w:shd w:val="clear" w:color="auto" w:fill="D9D9D9" w:themeFill="background1" w:themeFillShade="D9"/>
          </w:tcPr>
          <w:p w14:paraId="75F5C37A" w14:textId="77777777" w:rsidR="00547B72" w:rsidRPr="000E342B" w:rsidRDefault="00547B72" w:rsidP="00630761">
            <w:pPr>
              <w:spacing w:before="0"/>
              <w:jc w:val="center"/>
            </w:pPr>
            <w:r w:rsidRPr="000E342B">
              <w:t>120 pu</w:t>
            </w:r>
          </w:p>
          <w:p w14:paraId="705911F5" w14:textId="77777777" w:rsidR="00547B72" w:rsidRPr="000E342B" w:rsidRDefault="00547B72" w:rsidP="00630761">
            <w:pPr>
              <w:spacing w:before="0"/>
              <w:jc w:val="center"/>
              <w:rPr>
                <w:b/>
                <w:bCs/>
                <w:sz w:val="18"/>
                <w:szCs w:val="18"/>
                <w:lang w:eastAsia="ja-JP"/>
              </w:rPr>
            </w:pPr>
            <w:r w:rsidRPr="000E342B">
              <w:t>$26,640</w:t>
            </w:r>
          </w:p>
        </w:tc>
        <w:tc>
          <w:tcPr>
            <w:tcW w:w="424" w:type="pct"/>
            <w:shd w:val="clear" w:color="auto" w:fill="auto"/>
          </w:tcPr>
          <w:p w14:paraId="2412E0E9" w14:textId="77777777" w:rsidR="00547B72" w:rsidRPr="000E342B" w:rsidRDefault="00547B72" w:rsidP="00630761">
            <w:pPr>
              <w:spacing w:before="0"/>
              <w:jc w:val="center"/>
            </w:pPr>
            <w:r w:rsidRPr="000E342B">
              <w:t>300 pu</w:t>
            </w:r>
          </w:p>
          <w:p w14:paraId="034B1CB2" w14:textId="77777777" w:rsidR="00547B72" w:rsidRPr="000E342B" w:rsidRDefault="00547B72" w:rsidP="00630761">
            <w:pPr>
              <w:spacing w:before="0"/>
              <w:jc w:val="center"/>
              <w:rPr>
                <w:b/>
                <w:bCs/>
                <w:sz w:val="18"/>
                <w:szCs w:val="18"/>
                <w:lang w:eastAsia="ja-JP"/>
              </w:rPr>
            </w:pPr>
            <w:r w:rsidRPr="000E342B">
              <w:t>$66,600</w:t>
            </w:r>
          </w:p>
        </w:tc>
        <w:tc>
          <w:tcPr>
            <w:tcW w:w="429" w:type="pct"/>
            <w:shd w:val="clear" w:color="auto" w:fill="D9D9D9" w:themeFill="background1" w:themeFillShade="D9"/>
          </w:tcPr>
          <w:p w14:paraId="7398882A" w14:textId="77777777" w:rsidR="00547B72" w:rsidRPr="000E342B" w:rsidRDefault="00547B72" w:rsidP="00630761">
            <w:pPr>
              <w:spacing w:before="0"/>
              <w:jc w:val="center"/>
              <w:rPr>
                <w:b/>
                <w:bCs/>
                <w:sz w:val="18"/>
                <w:szCs w:val="18"/>
                <w:lang w:eastAsia="ja-JP"/>
              </w:rPr>
            </w:pPr>
            <w:r w:rsidRPr="000E342B">
              <w:t>-</w:t>
            </w:r>
          </w:p>
        </w:tc>
        <w:tc>
          <w:tcPr>
            <w:tcW w:w="491" w:type="pct"/>
            <w:shd w:val="clear" w:color="auto" w:fill="auto"/>
          </w:tcPr>
          <w:p w14:paraId="3DACB99B" w14:textId="77777777" w:rsidR="00547B72" w:rsidRPr="000E342B" w:rsidRDefault="00547B72" w:rsidP="00630761">
            <w:pPr>
              <w:spacing w:before="0"/>
              <w:jc w:val="center"/>
              <w:rPr>
                <w:b/>
                <w:bCs/>
                <w:sz w:val="18"/>
                <w:szCs w:val="18"/>
                <w:lang w:eastAsia="ja-JP"/>
              </w:rPr>
            </w:pPr>
          </w:p>
        </w:tc>
      </w:tr>
      <w:tr w:rsidR="00547B72" w:rsidRPr="000E342B" w14:paraId="7D264E2D" w14:textId="77777777" w:rsidTr="00630761">
        <w:trPr>
          <w:cantSplit/>
          <w:tblHeader/>
        </w:trPr>
        <w:tc>
          <w:tcPr>
            <w:tcW w:w="354" w:type="pct"/>
            <w:vMerge w:val="restart"/>
            <w:shd w:val="clear" w:color="auto" w:fill="D9E2F3" w:themeFill="accent1" w:themeFillTint="33"/>
          </w:tcPr>
          <w:p w14:paraId="4BF5F5DA" w14:textId="77777777" w:rsidR="00547B72" w:rsidRPr="000E342B" w:rsidRDefault="00547B72" w:rsidP="00630761">
            <w:pPr>
              <w:spacing w:before="0"/>
              <w:rPr>
                <w:b/>
                <w:bCs/>
                <w:sz w:val="18"/>
                <w:szCs w:val="18"/>
                <w:lang w:eastAsia="ja-JP"/>
              </w:rPr>
            </w:pPr>
            <w:r w:rsidRPr="000E342B">
              <w:t>146</w:t>
            </w:r>
          </w:p>
        </w:tc>
        <w:tc>
          <w:tcPr>
            <w:tcW w:w="2444" w:type="pct"/>
            <w:vMerge w:val="restart"/>
            <w:shd w:val="clear" w:color="auto" w:fill="auto"/>
          </w:tcPr>
          <w:p w14:paraId="35E599F7" w14:textId="77777777" w:rsidR="00547B72" w:rsidRPr="000E342B" w:rsidRDefault="00547B72" w:rsidP="00630761">
            <w:pPr>
              <w:spacing w:before="0"/>
              <w:rPr>
                <w:b/>
                <w:bCs/>
                <w:sz w:val="18"/>
                <w:szCs w:val="18"/>
                <w:lang w:eastAsia="ja-JP"/>
              </w:rPr>
            </w:pPr>
            <w:r w:rsidRPr="000E342B">
              <w:t xml:space="preserve">Person in charge of an aircraft or vessel must comply with the conditions specified in a notice giving permission for the goods to be unloaded from the aircraft or vessel at a requested landing place or port </w:t>
            </w:r>
          </w:p>
        </w:tc>
        <w:tc>
          <w:tcPr>
            <w:tcW w:w="473" w:type="pct"/>
            <w:shd w:val="clear" w:color="auto" w:fill="D9E2F3" w:themeFill="accent1" w:themeFillTint="33"/>
          </w:tcPr>
          <w:p w14:paraId="4450768A" w14:textId="77777777" w:rsidR="00547B72" w:rsidRPr="000E342B" w:rsidRDefault="00547B72" w:rsidP="00630761">
            <w:pPr>
              <w:spacing w:before="0"/>
              <w:jc w:val="center"/>
              <w:rPr>
                <w:b/>
                <w:bCs/>
                <w:sz w:val="18"/>
                <w:szCs w:val="18"/>
                <w:lang w:eastAsia="ja-JP"/>
              </w:rPr>
            </w:pPr>
            <w:r w:rsidRPr="000E342B">
              <w:t>146(4)</w:t>
            </w:r>
          </w:p>
        </w:tc>
        <w:tc>
          <w:tcPr>
            <w:tcW w:w="384" w:type="pct"/>
            <w:shd w:val="clear" w:color="auto" w:fill="D9D9D9" w:themeFill="background1" w:themeFillShade="D9"/>
          </w:tcPr>
          <w:p w14:paraId="5DE075DB"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071637B7"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7A642332" w14:textId="77777777" w:rsidR="00547B72" w:rsidRPr="000E342B" w:rsidRDefault="00547B72" w:rsidP="00630761">
            <w:pPr>
              <w:spacing w:before="0"/>
              <w:jc w:val="center"/>
            </w:pPr>
            <w:r w:rsidRPr="000E342B">
              <w:t>300 pu</w:t>
            </w:r>
          </w:p>
          <w:p w14:paraId="6EA72C73"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1E611836"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0DEAA0C5"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37B2C8CC" w14:textId="77777777" w:rsidTr="00630761">
        <w:trPr>
          <w:cantSplit/>
          <w:tblHeader/>
        </w:trPr>
        <w:tc>
          <w:tcPr>
            <w:tcW w:w="354" w:type="pct"/>
            <w:vMerge/>
            <w:shd w:val="clear" w:color="auto" w:fill="D9E2F3" w:themeFill="accent1" w:themeFillTint="33"/>
          </w:tcPr>
          <w:p w14:paraId="4191FF6C" w14:textId="77777777" w:rsidR="00547B72" w:rsidRPr="000E342B" w:rsidRDefault="00547B72" w:rsidP="00630761">
            <w:pPr>
              <w:spacing w:before="0"/>
              <w:rPr>
                <w:b/>
                <w:bCs/>
                <w:sz w:val="18"/>
                <w:szCs w:val="18"/>
                <w:lang w:eastAsia="ja-JP"/>
              </w:rPr>
            </w:pPr>
          </w:p>
        </w:tc>
        <w:tc>
          <w:tcPr>
            <w:tcW w:w="2444" w:type="pct"/>
            <w:vMerge/>
            <w:shd w:val="clear" w:color="auto" w:fill="auto"/>
          </w:tcPr>
          <w:p w14:paraId="19009B71"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47580349" w14:textId="77777777" w:rsidR="00547B72" w:rsidRPr="000E342B" w:rsidRDefault="00547B72" w:rsidP="00630761">
            <w:pPr>
              <w:spacing w:before="0"/>
              <w:jc w:val="center"/>
              <w:rPr>
                <w:b/>
                <w:bCs/>
                <w:sz w:val="18"/>
                <w:szCs w:val="18"/>
                <w:lang w:eastAsia="ja-JP"/>
              </w:rPr>
            </w:pPr>
            <w:r w:rsidRPr="000E342B">
              <w:t>146(5)</w:t>
            </w:r>
          </w:p>
        </w:tc>
        <w:tc>
          <w:tcPr>
            <w:tcW w:w="384" w:type="pct"/>
            <w:shd w:val="clear" w:color="auto" w:fill="D9D9D9" w:themeFill="background1" w:themeFillShade="D9"/>
          </w:tcPr>
          <w:p w14:paraId="1682DB11"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351AE2F5"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6381AB4A" w14:textId="77777777" w:rsidR="00547B72" w:rsidRPr="000E342B" w:rsidRDefault="00547B72" w:rsidP="00630761">
            <w:pPr>
              <w:spacing w:before="0"/>
              <w:jc w:val="center"/>
            </w:pPr>
            <w:r w:rsidRPr="000E342B">
              <w:t>300 pu</w:t>
            </w:r>
          </w:p>
          <w:p w14:paraId="0095315E"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7693A3CF"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1900330A"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638A5986" w14:textId="77777777" w:rsidTr="00630761">
        <w:trPr>
          <w:cantSplit/>
          <w:tblHeader/>
        </w:trPr>
        <w:tc>
          <w:tcPr>
            <w:tcW w:w="354" w:type="pct"/>
            <w:vMerge/>
            <w:shd w:val="clear" w:color="auto" w:fill="D9E2F3" w:themeFill="accent1" w:themeFillTint="33"/>
          </w:tcPr>
          <w:p w14:paraId="60CDFC7F" w14:textId="77777777" w:rsidR="00547B72" w:rsidRPr="000E342B" w:rsidRDefault="00547B72" w:rsidP="00630761">
            <w:pPr>
              <w:spacing w:before="0"/>
              <w:rPr>
                <w:b/>
                <w:bCs/>
                <w:sz w:val="18"/>
                <w:szCs w:val="18"/>
                <w:lang w:eastAsia="ja-JP"/>
              </w:rPr>
            </w:pPr>
          </w:p>
        </w:tc>
        <w:tc>
          <w:tcPr>
            <w:tcW w:w="2444" w:type="pct"/>
            <w:vMerge/>
            <w:shd w:val="clear" w:color="auto" w:fill="auto"/>
          </w:tcPr>
          <w:p w14:paraId="595C6B6D"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499225E4" w14:textId="77777777" w:rsidR="00547B72" w:rsidRPr="000E342B" w:rsidRDefault="00547B72" w:rsidP="00630761">
            <w:pPr>
              <w:spacing w:before="0"/>
              <w:jc w:val="center"/>
              <w:rPr>
                <w:b/>
                <w:bCs/>
                <w:sz w:val="18"/>
                <w:szCs w:val="18"/>
                <w:lang w:eastAsia="ja-JP"/>
              </w:rPr>
            </w:pPr>
            <w:r w:rsidRPr="000E342B">
              <w:t>146(6)</w:t>
            </w:r>
          </w:p>
        </w:tc>
        <w:tc>
          <w:tcPr>
            <w:tcW w:w="384" w:type="pct"/>
            <w:shd w:val="clear" w:color="auto" w:fill="D9D9D9" w:themeFill="background1" w:themeFillShade="D9"/>
          </w:tcPr>
          <w:p w14:paraId="06C467E2"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37D20A97"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0FED1342" w14:textId="77777777" w:rsidR="00547B72" w:rsidRPr="000E342B" w:rsidRDefault="00547B72" w:rsidP="00630761">
            <w:pPr>
              <w:spacing w:before="0"/>
              <w:jc w:val="center"/>
            </w:pPr>
            <w:r w:rsidRPr="000E342B">
              <w:t>300 pu</w:t>
            </w:r>
          </w:p>
          <w:p w14:paraId="15087AA2"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0155606A"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43606187"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351B11E6" w14:textId="77777777" w:rsidTr="00630761">
        <w:trPr>
          <w:cantSplit/>
          <w:tblHeader/>
        </w:trPr>
        <w:tc>
          <w:tcPr>
            <w:tcW w:w="354" w:type="pct"/>
            <w:vMerge/>
            <w:shd w:val="clear" w:color="auto" w:fill="D9E2F3" w:themeFill="accent1" w:themeFillTint="33"/>
          </w:tcPr>
          <w:p w14:paraId="4D995B0C" w14:textId="77777777" w:rsidR="00547B72" w:rsidRPr="000E342B" w:rsidRDefault="00547B72" w:rsidP="00630761">
            <w:pPr>
              <w:spacing w:before="0"/>
              <w:rPr>
                <w:b/>
                <w:bCs/>
                <w:sz w:val="18"/>
                <w:szCs w:val="18"/>
                <w:lang w:eastAsia="ja-JP"/>
              </w:rPr>
            </w:pPr>
          </w:p>
        </w:tc>
        <w:tc>
          <w:tcPr>
            <w:tcW w:w="2444" w:type="pct"/>
            <w:vMerge/>
            <w:shd w:val="clear" w:color="auto" w:fill="auto"/>
          </w:tcPr>
          <w:p w14:paraId="0F46AE62"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259CA2F8" w14:textId="77777777" w:rsidR="00547B72" w:rsidRPr="000E342B" w:rsidRDefault="00547B72" w:rsidP="00630761">
            <w:pPr>
              <w:spacing w:before="0"/>
              <w:jc w:val="center"/>
              <w:rPr>
                <w:b/>
                <w:bCs/>
                <w:sz w:val="18"/>
                <w:szCs w:val="18"/>
                <w:lang w:eastAsia="ja-JP"/>
              </w:rPr>
            </w:pPr>
            <w:r w:rsidRPr="000E342B">
              <w:t>146(7)</w:t>
            </w:r>
          </w:p>
        </w:tc>
        <w:tc>
          <w:tcPr>
            <w:tcW w:w="384" w:type="pct"/>
            <w:shd w:val="clear" w:color="auto" w:fill="D9D9D9" w:themeFill="background1" w:themeFillShade="D9"/>
          </w:tcPr>
          <w:p w14:paraId="0524D4DF" w14:textId="77777777" w:rsidR="00547B72" w:rsidRPr="000E342B" w:rsidRDefault="00547B72" w:rsidP="00630761">
            <w:pPr>
              <w:spacing w:before="0"/>
              <w:jc w:val="center"/>
            </w:pPr>
            <w:r w:rsidRPr="000E342B">
              <w:t>120 pu</w:t>
            </w:r>
          </w:p>
          <w:p w14:paraId="71071B24" w14:textId="77777777" w:rsidR="00547B72" w:rsidRPr="000E342B" w:rsidRDefault="00547B72" w:rsidP="00630761">
            <w:pPr>
              <w:spacing w:before="0"/>
              <w:jc w:val="center"/>
              <w:rPr>
                <w:b/>
                <w:bCs/>
                <w:sz w:val="18"/>
                <w:szCs w:val="18"/>
                <w:lang w:eastAsia="ja-JP"/>
              </w:rPr>
            </w:pPr>
            <w:r w:rsidRPr="000E342B">
              <w:t>$26,640</w:t>
            </w:r>
          </w:p>
        </w:tc>
        <w:tc>
          <w:tcPr>
            <w:tcW w:w="424" w:type="pct"/>
            <w:shd w:val="clear" w:color="auto" w:fill="auto"/>
          </w:tcPr>
          <w:p w14:paraId="38A933C2" w14:textId="77777777" w:rsidR="00547B72" w:rsidRPr="000E342B" w:rsidRDefault="00547B72" w:rsidP="00630761">
            <w:pPr>
              <w:spacing w:before="0"/>
              <w:jc w:val="center"/>
            </w:pPr>
            <w:r w:rsidRPr="000E342B">
              <w:t>300 pu</w:t>
            </w:r>
          </w:p>
          <w:p w14:paraId="4E3360BC" w14:textId="77777777" w:rsidR="00547B72" w:rsidRPr="000E342B" w:rsidRDefault="00547B72" w:rsidP="00630761">
            <w:pPr>
              <w:spacing w:before="0"/>
              <w:jc w:val="center"/>
              <w:rPr>
                <w:b/>
                <w:bCs/>
                <w:sz w:val="18"/>
                <w:szCs w:val="18"/>
                <w:lang w:eastAsia="ja-JP"/>
              </w:rPr>
            </w:pPr>
            <w:r w:rsidRPr="000E342B">
              <w:t>$66,600</w:t>
            </w:r>
          </w:p>
        </w:tc>
        <w:tc>
          <w:tcPr>
            <w:tcW w:w="429" w:type="pct"/>
            <w:shd w:val="clear" w:color="auto" w:fill="D9D9D9" w:themeFill="background1" w:themeFillShade="D9"/>
          </w:tcPr>
          <w:p w14:paraId="2412DC2C" w14:textId="77777777" w:rsidR="00547B72" w:rsidRPr="000E342B" w:rsidRDefault="00547B72" w:rsidP="00630761">
            <w:pPr>
              <w:spacing w:before="0"/>
              <w:jc w:val="center"/>
              <w:rPr>
                <w:b/>
                <w:bCs/>
                <w:sz w:val="18"/>
                <w:szCs w:val="18"/>
                <w:lang w:eastAsia="ja-JP"/>
              </w:rPr>
            </w:pPr>
            <w:r w:rsidRPr="000E342B">
              <w:t>-</w:t>
            </w:r>
          </w:p>
        </w:tc>
        <w:tc>
          <w:tcPr>
            <w:tcW w:w="491" w:type="pct"/>
            <w:shd w:val="clear" w:color="auto" w:fill="auto"/>
          </w:tcPr>
          <w:p w14:paraId="02954F97" w14:textId="77777777" w:rsidR="00547B72" w:rsidRPr="000E342B" w:rsidRDefault="00547B72" w:rsidP="00630761">
            <w:pPr>
              <w:spacing w:before="0"/>
              <w:jc w:val="center"/>
              <w:rPr>
                <w:b/>
                <w:bCs/>
                <w:sz w:val="18"/>
                <w:szCs w:val="18"/>
                <w:lang w:eastAsia="ja-JP"/>
              </w:rPr>
            </w:pPr>
          </w:p>
        </w:tc>
      </w:tr>
      <w:tr w:rsidR="00547B72" w:rsidRPr="000E342B" w14:paraId="38D97572" w14:textId="77777777" w:rsidTr="00630761">
        <w:trPr>
          <w:cantSplit/>
          <w:tblHeader/>
        </w:trPr>
        <w:tc>
          <w:tcPr>
            <w:tcW w:w="354" w:type="pct"/>
            <w:vMerge w:val="restart"/>
            <w:shd w:val="clear" w:color="auto" w:fill="D9E2F3" w:themeFill="accent1" w:themeFillTint="33"/>
          </w:tcPr>
          <w:p w14:paraId="6A8A6751" w14:textId="77777777" w:rsidR="00547B72" w:rsidRPr="000E342B" w:rsidRDefault="00547B72" w:rsidP="00630761">
            <w:pPr>
              <w:spacing w:before="0"/>
              <w:rPr>
                <w:b/>
                <w:bCs/>
                <w:sz w:val="18"/>
                <w:szCs w:val="18"/>
                <w:lang w:eastAsia="ja-JP"/>
              </w:rPr>
            </w:pPr>
            <w:r w:rsidRPr="000E342B">
              <w:t>147</w:t>
            </w:r>
          </w:p>
        </w:tc>
        <w:tc>
          <w:tcPr>
            <w:tcW w:w="2444" w:type="pct"/>
            <w:vMerge w:val="restart"/>
            <w:shd w:val="clear" w:color="auto" w:fill="auto"/>
          </w:tcPr>
          <w:p w14:paraId="587ACD51" w14:textId="77777777" w:rsidR="00547B72" w:rsidRDefault="00547B72" w:rsidP="00630761">
            <w:pPr>
              <w:spacing w:before="0"/>
            </w:pPr>
            <w:r w:rsidRPr="000E342B">
              <w:t>Person in charge of an aircraft or vessel must ensure that goods that are to be unloaded from the aircraft or vessel are brought to the biosecurity entry point for those goods</w:t>
            </w:r>
          </w:p>
          <w:p w14:paraId="3C888B5E" w14:textId="77777777" w:rsidR="006D1AD5" w:rsidRDefault="006D1AD5" w:rsidP="00630761">
            <w:pPr>
              <w:spacing w:before="0"/>
              <w:rPr>
                <w:b/>
                <w:bCs/>
              </w:rPr>
            </w:pPr>
          </w:p>
          <w:p w14:paraId="7EFBE98F" w14:textId="77777777" w:rsidR="006D1AD5" w:rsidRDefault="006D1AD5" w:rsidP="00630761">
            <w:pPr>
              <w:spacing w:before="0"/>
              <w:rPr>
                <w:b/>
                <w:bCs/>
                <w:sz w:val="18"/>
                <w:szCs w:val="18"/>
                <w:lang w:eastAsia="ja-JP"/>
              </w:rPr>
            </w:pPr>
          </w:p>
          <w:p w14:paraId="1A9A7B31" w14:textId="77777777" w:rsidR="006D1AD5" w:rsidRDefault="006D1AD5" w:rsidP="00630761">
            <w:pPr>
              <w:spacing w:before="0"/>
              <w:rPr>
                <w:b/>
                <w:bCs/>
                <w:sz w:val="18"/>
                <w:szCs w:val="18"/>
                <w:lang w:eastAsia="ja-JP"/>
              </w:rPr>
            </w:pPr>
          </w:p>
          <w:p w14:paraId="20D01F52" w14:textId="77777777" w:rsidR="006D1AD5" w:rsidRDefault="006D1AD5" w:rsidP="00630761">
            <w:pPr>
              <w:spacing w:before="0"/>
              <w:rPr>
                <w:b/>
                <w:bCs/>
                <w:sz w:val="18"/>
                <w:szCs w:val="18"/>
                <w:lang w:eastAsia="ja-JP"/>
              </w:rPr>
            </w:pPr>
          </w:p>
          <w:p w14:paraId="354913C3" w14:textId="77777777" w:rsidR="006D1AD5" w:rsidRDefault="006D1AD5" w:rsidP="00630761">
            <w:pPr>
              <w:spacing w:before="0"/>
              <w:rPr>
                <w:b/>
                <w:bCs/>
                <w:sz w:val="18"/>
                <w:szCs w:val="18"/>
                <w:lang w:eastAsia="ja-JP"/>
              </w:rPr>
            </w:pPr>
          </w:p>
          <w:p w14:paraId="2DA7E3B7" w14:textId="77777777" w:rsidR="006D1AD5" w:rsidRDefault="006D1AD5" w:rsidP="00630761">
            <w:pPr>
              <w:spacing w:before="0"/>
              <w:rPr>
                <w:b/>
                <w:bCs/>
                <w:sz w:val="18"/>
                <w:szCs w:val="18"/>
                <w:lang w:eastAsia="ja-JP"/>
              </w:rPr>
            </w:pPr>
          </w:p>
          <w:p w14:paraId="16A73C97" w14:textId="77777777" w:rsidR="006D1AD5" w:rsidRDefault="006D1AD5" w:rsidP="00630761">
            <w:pPr>
              <w:spacing w:before="0"/>
              <w:rPr>
                <w:b/>
                <w:bCs/>
                <w:sz w:val="18"/>
                <w:szCs w:val="18"/>
                <w:lang w:eastAsia="ja-JP"/>
              </w:rPr>
            </w:pPr>
          </w:p>
          <w:p w14:paraId="3D820634" w14:textId="77777777" w:rsidR="006D1AD5" w:rsidRDefault="006D1AD5" w:rsidP="00630761">
            <w:pPr>
              <w:spacing w:before="0"/>
              <w:rPr>
                <w:b/>
                <w:bCs/>
                <w:sz w:val="18"/>
                <w:szCs w:val="18"/>
                <w:lang w:eastAsia="ja-JP"/>
              </w:rPr>
            </w:pPr>
          </w:p>
          <w:p w14:paraId="427D0486" w14:textId="77777777" w:rsidR="006D1AD5" w:rsidRDefault="006D1AD5" w:rsidP="00630761">
            <w:pPr>
              <w:spacing w:before="0"/>
              <w:rPr>
                <w:b/>
                <w:bCs/>
                <w:sz w:val="18"/>
                <w:szCs w:val="18"/>
                <w:lang w:eastAsia="ja-JP"/>
              </w:rPr>
            </w:pPr>
          </w:p>
          <w:p w14:paraId="5AAA7933" w14:textId="4034BE80" w:rsidR="006D1AD5" w:rsidRPr="000E342B" w:rsidRDefault="006D1AD5" w:rsidP="00630761">
            <w:pPr>
              <w:spacing w:before="0"/>
              <w:rPr>
                <w:b/>
                <w:bCs/>
                <w:sz w:val="18"/>
                <w:szCs w:val="18"/>
                <w:lang w:eastAsia="ja-JP"/>
              </w:rPr>
            </w:pPr>
          </w:p>
        </w:tc>
        <w:tc>
          <w:tcPr>
            <w:tcW w:w="473" w:type="pct"/>
            <w:shd w:val="clear" w:color="auto" w:fill="D9E2F3" w:themeFill="accent1" w:themeFillTint="33"/>
          </w:tcPr>
          <w:p w14:paraId="58F86D25" w14:textId="77777777" w:rsidR="00547B72" w:rsidRPr="000E342B" w:rsidRDefault="00547B72" w:rsidP="00630761">
            <w:pPr>
              <w:spacing w:before="0"/>
              <w:jc w:val="center"/>
              <w:rPr>
                <w:b/>
                <w:bCs/>
                <w:sz w:val="18"/>
                <w:szCs w:val="18"/>
                <w:lang w:eastAsia="ja-JP"/>
              </w:rPr>
            </w:pPr>
            <w:r w:rsidRPr="000E342B">
              <w:t>147(2)</w:t>
            </w:r>
          </w:p>
        </w:tc>
        <w:tc>
          <w:tcPr>
            <w:tcW w:w="384" w:type="pct"/>
            <w:shd w:val="clear" w:color="auto" w:fill="D9D9D9" w:themeFill="background1" w:themeFillShade="D9"/>
          </w:tcPr>
          <w:p w14:paraId="4D80198E" w14:textId="77777777" w:rsidR="00547B72" w:rsidRPr="000E342B" w:rsidRDefault="00547B72" w:rsidP="00630761">
            <w:pPr>
              <w:spacing w:before="0"/>
              <w:jc w:val="center"/>
            </w:pPr>
            <w:r w:rsidRPr="000E342B">
              <w:t>120 pu</w:t>
            </w:r>
          </w:p>
          <w:p w14:paraId="466132C1" w14:textId="77777777" w:rsidR="00547B72" w:rsidRPr="000E342B" w:rsidRDefault="00547B72" w:rsidP="00630761">
            <w:pPr>
              <w:spacing w:before="0"/>
              <w:jc w:val="center"/>
              <w:rPr>
                <w:b/>
                <w:bCs/>
                <w:sz w:val="18"/>
                <w:szCs w:val="18"/>
                <w:lang w:eastAsia="ja-JP"/>
              </w:rPr>
            </w:pPr>
            <w:r w:rsidRPr="000E342B">
              <w:t>$26,640</w:t>
            </w:r>
          </w:p>
        </w:tc>
        <w:tc>
          <w:tcPr>
            <w:tcW w:w="424" w:type="pct"/>
            <w:shd w:val="clear" w:color="auto" w:fill="auto"/>
          </w:tcPr>
          <w:p w14:paraId="19E4EB9C" w14:textId="77777777" w:rsidR="00547B72" w:rsidRPr="000E342B" w:rsidRDefault="00547B72" w:rsidP="00630761">
            <w:pPr>
              <w:spacing w:before="0"/>
              <w:jc w:val="center"/>
            </w:pPr>
            <w:r w:rsidRPr="000E342B">
              <w:t>300 pu</w:t>
            </w:r>
          </w:p>
          <w:p w14:paraId="7E2F7CCF" w14:textId="77777777" w:rsidR="00547B72" w:rsidRPr="000E342B" w:rsidRDefault="00547B72" w:rsidP="00630761">
            <w:pPr>
              <w:spacing w:before="0"/>
              <w:jc w:val="center"/>
              <w:rPr>
                <w:b/>
                <w:bCs/>
                <w:sz w:val="18"/>
                <w:szCs w:val="18"/>
                <w:lang w:eastAsia="ja-JP"/>
              </w:rPr>
            </w:pPr>
            <w:r w:rsidRPr="000E342B">
              <w:t>$66,600</w:t>
            </w:r>
          </w:p>
        </w:tc>
        <w:tc>
          <w:tcPr>
            <w:tcW w:w="429" w:type="pct"/>
            <w:shd w:val="clear" w:color="auto" w:fill="D9D9D9" w:themeFill="background1" w:themeFillShade="D9"/>
          </w:tcPr>
          <w:p w14:paraId="7ED419CA" w14:textId="77777777" w:rsidR="00547B72" w:rsidRPr="000E342B" w:rsidRDefault="00547B72" w:rsidP="00630761">
            <w:pPr>
              <w:spacing w:before="0"/>
              <w:jc w:val="center"/>
              <w:rPr>
                <w:b/>
                <w:bCs/>
                <w:sz w:val="18"/>
                <w:szCs w:val="18"/>
                <w:lang w:eastAsia="ja-JP"/>
              </w:rPr>
            </w:pPr>
            <w:r w:rsidRPr="000E342B">
              <w:t>-</w:t>
            </w:r>
          </w:p>
        </w:tc>
        <w:tc>
          <w:tcPr>
            <w:tcW w:w="491" w:type="pct"/>
            <w:shd w:val="clear" w:color="auto" w:fill="auto"/>
          </w:tcPr>
          <w:p w14:paraId="29EE5FAF" w14:textId="77777777" w:rsidR="00547B72" w:rsidRPr="000E342B" w:rsidRDefault="00547B72" w:rsidP="00630761">
            <w:pPr>
              <w:spacing w:before="0"/>
              <w:jc w:val="center"/>
              <w:rPr>
                <w:b/>
                <w:bCs/>
                <w:sz w:val="18"/>
                <w:szCs w:val="18"/>
                <w:lang w:eastAsia="ja-JP"/>
              </w:rPr>
            </w:pPr>
          </w:p>
        </w:tc>
      </w:tr>
      <w:tr w:rsidR="00547B72" w:rsidRPr="000E342B" w14:paraId="6FA3EFD0" w14:textId="77777777" w:rsidTr="00630761">
        <w:trPr>
          <w:cantSplit/>
          <w:tblHeader/>
        </w:trPr>
        <w:tc>
          <w:tcPr>
            <w:tcW w:w="354" w:type="pct"/>
            <w:vMerge/>
            <w:shd w:val="clear" w:color="auto" w:fill="D9E2F3" w:themeFill="accent1" w:themeFillTint="33"/>
          </w:tcPr>
          <w:p w14:paraId="097B6B16" w14:textId="77777777" w:rsidR="00547B72" w:rsidRPr="000E342B" w:rsidRDefault="00547B72" w:rsidP="00630761">
            <w:pPr>
              <w:spacing w:before="0"/>
              <w:rPr>
                <w:b/>
                <w:bCs/>
                <w:sz w:val="18"/>
                <w:szCs w:val="18"/>
                <w:lang w:eastAsia="ja-JP"/>
              </w:rPr>
            </w:pPr>
          </w:p>
        </w:tc>
        <w:tc>
          <w:tcPr>
            <w:tcW w:w="2444" w:type="pct"/>
            <w:vMerge/>
            <w:shd w:val="clear" w:color="auto" w:fill="auto"/>
          </w:tcPr>
          <w:p w14:paraId="5EC7E835"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36242274" w14:textId="77777777" w:rsidR="00547B72" w:rsidRPr="000E342B" w:rsidRDefault="00547B72" w:rsidP="00630761">
            <w:pPr>
              <w:spacing w:before="0"/>
              <w:jc w:val="center"/>
              <w:rPr>
                <w:b/>
                <w:bCs/>
                <w:sz w:val="18"/>
                <w:szCs w:val="18"/>
                <w:lang w:eastAsia="ja-JP"/>
              </w:rPr>
            </w:pPr>
            <w:r w:rsidRPr="000E342B">
              <w:t>147(4)</w:t>
            </w:r>
          </w:p>
        </w:tc>
        <w:tc>
          <w:tcPr>
            <w:tcW w:w="384" w:type="pct"/>
            <w:shd w:val="clear" w:color="auto" w:fill="D9D9D9" w:themeFill="background1" w:themeFillShade="D9"/>
          </w:tcPr>
          <w:p w14:paraId="234A96E2"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7F8B0E4D"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14B094A4" w14:textId="77777777" w:rsidR="00547B72" w:rsidRPr="000E342B" w:rsidRDefault="00547B72" w:rsidP="00630761">
            <w:pPr>
              <w:spacing w:before="0"/>
              <w:jc w:val="center"/>
            </w:pPr>
            <w:r w:rsidRPr="000E342B">
              <w:t>300 pu</w:t>
            </w:r>
          </w:p>
          <w:p w14:paraId="55430402"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06FDB5EB"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4E38AF25"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4412C165" w14:textId="77777777" w:rsidTr="00630761">
        <w:trPr>
          <w:cantSplit/>
          <w:tblHeader/>
        </w:trPr>
        <w:tc>
          <w:tcPr>
            <w:tcW w:w="354" w:type="pct"/>
            <w:vMerge/>
            <w:shd w:val="clear" w:color="auto" w:fill="D9E2F3" w:themeFill="accent1" w:themeFillTint="33"/>
          </w:tcPr>
          <w:p w14:paraId="7F33E270" w14:textId="77777777" w:rsidR="00547B72" w:rsidRPr="000E342B" w:rsidRDefault="00547B72" w:rsidP="00630761">
            <w:pPr>
              <w:spacing w:before="0"/>
              <w:rPr>
                <w:b/>
                <w:bCs/>
                <w:sz w:val="18"/>
                <w:szCs w:val="18"/>
                <w:lang w:eastAsia="ja-JP"/>
              </w:rPr>
            </w:pPr>
          </w:p>
        </w:tc>
        <w:tc>
          <w:tcPr>
            <w:tcW w:w="2444" w:type="pct"/>
            <w:vMerge/>
            <w:shd w:val="clear" w:color="auto" w:fill="auto"/>
          </w:tcPr>
          <w:p w14:paraId="0482E7D7"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2D04CE0A" w14:textId="77777777" w:rsidR="00547B72" w:rsidRPr="000E342B" w:rsidRDefault="00547B72" w:rsidP="00630761">
            <w:pPr>
              <w:spacing w:before="0"/>
              <w:jc w:val="center"/>
              <w:rPr>
                <w:b/>
                <w:bCs/>
                <w:sz w:val="18"/>
                <w:szCs w:val="18"/>
                <w:lang w:eastAsia="ja-JP"/>
              </w:rPr>
            </w:pPr>
            <w:r w:rsidRPr="000E342B">
              <w:t>147(5)</w:t>
            </w:r>
          </w:p>
        </w:tc>
        <w:tc>
          <w:tcPr>
            <w:tcW w:w="384" w:type="pct"/>
            <w:shd w:val="clear" w:color="auto" w:fill="D9D9D9" w:themeFill="background1" w:themeFillShade="D9"/>
          </w:tcPr>
          <w:p w14:paraId="2C61328C"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27DCE154"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5FBD1D65" w14:textId="77777777" w:rsidR="00547B72" w:rsidRPr="000E342B" w:rsidRDefault="00547B72" w:rsidP="00630761">
            <w:pPr>
              <w:spacing w:before="0"/>
              <w:jc w:val="center"/>
            </w:pPr>
            <w:r w:rsidRPr="000E342B">
              <w:t>300 pu</w:t>
            </w:r>
          </w:p>
          <w:p w14:paraId="751D8946"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09283D9E"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67D07B30"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76591E9D" w14:textId="77777777" w:rsidTr="00630761">
        <w:trPr>
          <w:cantSplit/>
          <w:tblHeader/>
        </w:trPr>
        <w:tc>
          <w:tcPr>
            <w:tcW w:w="354" w:type="pct"/>
            <w:vMerge/>
            <w:shd w:val="clear" w:color="auto" w:fill="D9E2F3" w:themeFill="accent1" w:themeFillTint="33"/>
          </w:tcPr>
          <w:p w14:paraId="1E921B2E" w14:textId="77777777" w:rsidR="00547B72" w:rsidRPr="000E342B" w:rsidRDefault="00547B72" w:rsidP="00630761">
            <w:pPr>
              <w:spacing w:before="0"/>
              <w:rPr>
                <w:b/>
                <w:bCs/>
                <w:sz w:val="18"/>
                <w:szCs w:val="18"/>
                <w:lang w:eastAsia="ja-JP"/>
              </w:rPr>
            </w:pPr>
          </w:p>
        </w:tc>
        <w:tc>
          <w:tcPr>
            <w:tcW w:w="2444" w:type="pct"/>
            <w:vMerge/>
            <w:shd w:val="clear" w:color="auto" w:fill="auto"/>
          </w:tcPr>
          <w:p w14:paraId="6629853B"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61E91A3F" w14:textId="77777777" w:rsidR="00547B72" w:rsidRPr="000E342B" w:rsidRDefault="00547B72" w:rsidP="00630761">
            <w:pPr>
              <w:spacing w:before="0"/>
              <w:jc w:val="center"/>
              <w:rPr>
                <w:b/>
                <w:bCs/>
                <w:sz w:val="18"/>
                <w:szCs w:val="18"/>
                <w:lang w:eastAsia="ja-JP"/>
              </w:rPr>
            </w:pPr>
            <w:r w:rsidRPr="000E342B">
              <w:t>147(6)</w:t>
            </w:r>
          </w:p>
        </w:tc>
        <w:tc>
          <w:tcPr>
            <w:tcW w:w="384" w:type="pct"/>
            <w:shd w:val="clear" w:color="auto" w:fill="D9D9D9" w:themeFill="background1" w:themeFillShade="D9"/>
          </w:tcPr>
          <w:p w14:paraId="46A0DFB8"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24B360D9"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109737DB" w14:textId="77777777" w:rsidR="00547B72" w:rsidRPr="000E342B" w:rsidRDefault="00547B72" w:rsidP="00630761">
            <w:pPr>
              <w:spacing w:before="0"/>
              <w:jc w:val="center"/>
            </w:pPr>
            <w:r w:rsidRPr="000E342B">
              <w:t>300 pu</w:t>
            </w:r>
          </w:p>
          <w:p w14:paraId="144689EE"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712619DE"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5DBB5282"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30FD44D2" w14:textId="77777777" w:rsidTr="00630761">
        <w:trPr>
          <w:cantSplit/>
          <w:tblHeader/>
        </w:trPr>
        <w:tc>
          <w:tcPr>
            <w:tcW w:w="354" w:type="pct"/>
            <w:vMerge/>
            <w:shd w:val="clear" w:color="auto" w:fill="D9E2F3" w:themeFill="accent1" w:themeFillTint="33"/>
          </w:tcPr>
          <w:p w14:paraId="53F8619F" w14:textId="77777777" w:rsidR="00547B72" w:rsidRPr="000E342B" w:rsidRDefault="00547B72" w:rsidP="00630761">
            <w:pPr>
              <w:spacing w:before="0"/>
              <w:rPr>
                <w:b/>
                <w:bCs/>
                <w:sz w:val="18"/>
                <w:szCs w:val="18"/>
                <w:lang w:eastAsia="ja-JP"/>
              </w:rPr>
            </w:pPr>
          </w:p>
        </w:tc>
        <w:tc>
          <w:tcPr>
            <w:tcW w:w="2444" w:type="pct"/>
            <w:vMerge/>
            <w:shd w:val="clear" w:color="auto" w:fill="auto"/>
          </w:tcPr>
          <w:p w14:paraId="7AC602E0"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19693DB8" w14:textId="77777777" w:rsidR="00547B72" w:rsidRPr="000E342B" w:rsidRDefault="00547B72" w:rsidP="00630761">
            <w:pPr>
              <w:spacing w:before="0"/>
              <w:jc w:val="center"/>
              <w:rPr>
                <w:b/>
                <w:bCs/>
                <w:sz w:val="18"/>
                <w:szCs w:val="18"/>
                <w:lang w:eastAsia="ja-JP"/>
              </w:rPr>
            </w:pPr>
            <w:r w:rsidRPr="000E342B">
              <w:t>147(7)</w:t>
            </w:r>
          </w:p>
        </w:tc>
        <w:tc>
          <w:tcPr>
            <w:tcW w:w="384" w:type="pct"/>
            <w:shd w:val="clear" w:color="auto" w:fill="D9D9D9" w:themeFill="background1" w:themeFillShade="D9"/>
          </w:tcPr>
          <w:p w14:paraId="75717682" w14:textId="77777777" w:rsidR="00547B72" w:rsidRPr="000E342B" w:rsidRDefault="00547B72" w:rsidP="00630761">
            <w:pPr>
              <w:spacing w:before="0"/>
              <w:jc w:val="center"/>
            </w:pPr>
            <w:r w:rsidRPr="000E342B">
              <w:t>120 pu</w:t>
            </w:r>
          </w:p>
          <w:p w14:paraId="1CDC620C" w14:textId="77777777" w:rsidR="00547B72" w:rsidRPr="000E342B" w:rsidRDefault="00547B72" w:rsidP="00630761">
            <w:pPr>
              <w:spacing w:before="0"/>
              <w:jc w:val="center"/>
              <w:rPr>
                <w:b/>
                <w:bCs/>
                <w:sz w:val="18"/>
                <w:szCs w:val="18"/>
                <w:lang w:eastAsia="ja-JP"/>
              </w:rPr>
            </w:pPr>
            <w:r w:rsidRPr="000E342B">
              <w:t>$26,640</w:t>
            </w:r>
          </w:p>
        </w:tc>
        <w:tc>
          <w:tcPr>
            <w:tcW w:w="424" w:type="pct"/>
            <w:shd w:val="clear" w:color="auto" w:fill="auto"/>
          </w:tcPr>
          <w:p w14:paraId="4DAA33E9" w14:textId="77777777" w:rsidR="00547B72" w:rsidRPr="000E342B" w:rsidRDefault="00547B72" w:rsidP="00630761">
            <w:pPr>
              <w:spacing w:before="0"/>
              <w:jc w:val="center"/>
            </w:pPr>
            <w:r w:rsidRPr="000E342B">
              <w:t>300 pu</w:t>
            </w:r>
          </w:p>
          <w:p w14:paraId="15964B69" w14:textId="77777777" w:rsidR="00547B72" w:rsidRPr="000E342B" w:rsidRDefault="00547B72" w:rsidP="00630761">
            <w:pPr>
              <w:spacing w:before="0"/>
              <w:jc w:val="center"/>
              <w:rPr>
                <w:b/>
                <w:bCs/>
                <w:sz w:val="18"/>
                <w:szCs w:val="18"/>
                <w:lang w:eastAsia="ja-JP"/>
              </w:rPr>
            </w:pPr>
            <w:r w:rsidRPr="000E342B">
              <w:t>$66,600</w:t>
            </w:r>
          </w:p>
        </w:tc>
        <w:tc>
          <w:tcPr>
            <w:tcW w:w="429" w:type="pct"/>
            <w:shd w:val="clear" w:color="auto" w:fill="D9D9D9" w:themeFill="background1" w:themeFillShade="D9"/>
          </w:tcPr>
          <w:p w14:paraId="41D7C5D9" w14:textId="77777777" w:rsidR="00547B72" w:rsidRPr="000E342B" w:rsidRDefault="00547B72" w:rsidP="00630761">
            <w:pPr>
              <w:spacing w:before="0"/>
              <w:jc w:val="center"/>
              <w:rPr>
                <w:b/>
                <w:bCs/>
                <w:sz w:val="18"/>
                <w:szCs w:val="18"/>
                <w:lang w:eastAsia="ja-JP"/>
              </w:rPr>
            </w:pPr>
            <w:r w:rsidRPr="000E342B">
              <w:t>-</w:t>
            </w:r>
          </w:p>
        </w:tc>
        <w:tc>
          <w:tcPr>
            <w:tcW w:w="491" w:type="pct"/>
            <w:shd w:val="clear" w:color="auto" w:fill="auto"/>
          </w:tcPr>
          <w:p w14:paraId="0DCDF359" w14:textId="77777777" w:rsidR="00547B72" w:rsidRPr="000E342B" w:rsidRDefault="00547B72" w:rsidP="00630761">
            <w:pPr>
              <w:spacing w:before="0"/>
              <w:jc w:val="center"/>
              <w:rPr>
                <w:b/>
                <w:bCs/>
                <w:sz w:val="18"/>
                <w:szCs w:val="18"/>
                <w:lang w:eastAsia="ja-JP"/>
              </w:rPr>
            </w:pPr>
          </w:p>
        </w:tc>
      </w:tr>
      <w:tr w:rsidR="00547B72" w:rsidRPr="000E342B" w14:paraId="271DF8AE" w14:textId="77777777" w:rsidTr="00630761">
        <w:trPr>
          <w:cantSplit/>
          <w:tblHeader/>
        </w:trPr>
        <w:tc>
          <w:tcPr>
            <w:tcW w:w="354" w:type="pct"/>
            <w:vMerge w:val="restart"/>
            <w:shd w:val="clear" w:color="auto" w:fill="D9E2F3" w:themeFill="accent1" w:themeFillTint="33"/>
          </w:tcPr>
          <w:p w14:paraId="7F45FB8F" w14:textId="77777777" w:rsidR="00547B72" w:rsidRPr="000E342B" w:rsidRDefault="00547B72" w:rsidP="00630761">
            <w:pPr>
              <w:spacing w:before="0"/>
              <w:rPr>
                <w:b/>
                <w:bCs/>
                <w:sz w:val="18"/>
                <w:szCs w:val="18"/>
                <w:lang w:eastAsia="ja-JP"/>
              </w:rPr>
            </w:pPr>
            <w:r w:rsidRPr="000E342B">
              <w:lastRenderedPageBreak/>
              <w:t>148</w:t>
            </w:r>
          </w:p>
        </w:tc>
        <w:tc>
          <w:tcPr>
            <w:tcW w:w="2444" w:type="pct"/>
            <w:vMerge w:val="restart"/>
            <w:shd w:val="clear" w:color="auto" w:fill="auto"/>
          </w:tcPr>
          <w:p w14:paraId="3AD0A3E5" w14:textId="77777777" w:rsidR="00547B72" w:rsidRPr="000E342B" w:rsidRDefault="00547B72" w:rsidP="00630761">
            <w:pPr>
              <w:spacing w:before="0"/>
              <w:rPr>
                <w:b/>
                <w:bCs/>
                <w:sz w:val="18"/>
                <w:szCs w:val="18"/>
                <w:lang w:eastAsia="ja-JP"/>
              </w:rPr>
            </w:pPr>
            <w:r w:rsidRPr="000E342B">
              <w:t xml:space="preserve">Person in charge of an aircraft or vessel must comply with the conditions specified in a notice giving permission for the goods to be brought to a requested alternative biosecurity entry point </w:t>
            </w:r>
          </w:p>
        </w:tc>
        <w:tc>
          <w:tcPr>
            <w:tcW w:w="473" w:type="pct"/>
            <w:shd w:val="clear" w:color="auto" w:fill="D9E2F3" w:themeFill="accent1" w:themeFillTint="33"/>
          </w:tcPr>
          <w:p w14:paraId="712C6746" w14:textId="77777777" w:rsidR="00547B72" w:rsidRPr="000E342B" w:rsidRDefault="00547B72" w:rsidP="00630761">
            <w:pPr>
              <w:spacing w:before="0"/>
              <w:jc w:val="center"/>
              <w:rPr>
                <w:b/>
                <w:bCs/>
                <w:sz w:val="18"/>
                <w:szCs w:val="18"/>
                <w:lang w:eastAsia="ja-JP"/>
              </w:rPr>
            </w:pPr>
            <w:r w:rsidRPr="000E342B">
              <w:t>148(4)</w:t>
            </w:r>
          </w:p>
        </w:tc>
        <w:tc>
          <w:tcPr>
            <w:tcW w:w="384" w:type="pct"/>
            <w:shd w:val="clear" w:color="auto" w:fill="D9D9D9" w:themeFill="background1" w:themeFillShade="D9"/>
          </w:tcPr>
          <w:p w14:paraId="4F82D586"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69466180"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4C1753F3" w14:textId="77777777" w:rsidR="00547B72" w:rsidRPr="000E342B" w:rsidRDefault="00547B72" w:rsidP="00630761">
            <w:pPr>
              <w:spacing w:before="0"/>
              <w:jc w:val="center"/>
            </w:pPr>
            <w:r w:rsidRPr="000E342B">
              <w:t>300 pu</w:t>
            </w:r>
          </w:p>
          <w:p w14:paraId="35FC730F"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30D6E1DD"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3EA3A5D7"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27F39441" w14:textId="77777777" w:rsidTr="00630761">
        <w:trPr>
          <w:cantSplit/>
          <w:tblHeader/>
        </w:trPr>
        <w:tc>
          <w:tcPr>
            <w:tcW w:w="354" w:type="pct"/>
            <w:vMerge/>
            <w:shd w:val="clear" w:color="auto" w:fill="D9E2F3" w:themeFill="accent1" w:themeFillTint="33"/>
          </w:tcPr>
          <w:p w14:paraId="43DA014E" w14:textId="77777777" w:rsidR="00547B72" w:rsidRPr="000E342B" w:rsidRDefault="00547B72" w:rsidP="00630761">
            <w:pPr>
              <w:spacing w:before="0"/>
              <w:rPr>
                <w:b/>
                <w:bCs/>
                <w:sz w:val="18"/>
                <w:szCs w:val="18"/>
                <w:lang w:eastAsia="ja-JP"/>
              </w:rPr>
            </w:pPr>
          </w:p>
        </w:tc>
        <w:tc>
          <w:tcPr>
            <w:tcW w:w="2444" w:type="pct"/>
            <w:vMerge/>
            <w:shd w:val="clear" w:color="auto" w:fill="auto"/>
          </w:tcPr>
          <w:p w14:paraId="1D70DBDD"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0DAF6E8D" w14:textId="77777777" w:rsidR="00547B72" w:rsidRPr="000E342B" w:rsidRDefault="00547B72" w:rsidP="00630761">
            <w:pPr>
              <w:spacing w:before="0"/>
              <w:jc w:val="center"/>
              <w:rPr>
                <w:b/>
                <w:bCs/>
                <w:sz w:val="18"/>
                <w:szCs w:val="18"/>
                <w:lang w:eastAsia="ja-JP"/>
              </w:rPr>
            </w:pPr>
            <w:r w:rsidRPr="000E342B">
              <w:t>148(5)</w:t>
            </w:r>
          </w:p>
        </w:tc>
        <w:tc>
          <w:tcPr>
            <w:tcW w:w="384" w:type="pct"/>
            <w:shd w:val="clear" w:color="auto" w:fill="D9D9D9" w:themeFill="background1" w:themeFillShade="D9"/>
          </w:tcPr>
          <w:p w14:paraId="1E30D2B8"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521098DC"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61C51CB7" w14:textId="77777777" w:rsidR="00547B72" w:rsidRPr="000E342B" w:rsidRDefault="00547B72" w:rsidP="00630761">
            <w:pPr>
              <w:spacing w:before="0"/>
              <w:jc w:val="center"/>
            </w:pPr>
            <w:r w:rsidRPr="000E342B">
              <w:t>300 pu</w:t>
            </w:r>
          </w:p>
          <w:p w14:paraId="61EB8ECA"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24D1D452"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20CB07B6"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07FD9BE7" w14:textId="77777777" w:rsidTr="00630761">
        <w:trPr>
          <w:cantSplit/>
          <w:tblHeader/>
        </w:trPr>
        <w:tc>
          <w:tcPr>
            <w:tcW w:w="354" w:type="pct"/>
            <w:vMerge/>
            <w:shd w:val="clear" w:color="auto" w:fill="D9E2F3" w:themeFill="accent1" w:themeFillTint="33"/>
          </w:tcPr>
          <w:p w14:paraId="468B51DD" w14:textId="77777777" w:rsidR="00547B72" w:rsidRPr="000E342B" w:rsidRDefault="00547B72" w:rsidP="00630761">
            <w:pPr>
              <w:spacing w:before="0"/>
              <w:rPr>
                <w:b/>
                <w:bCs/>
                <w:sz w:val="18"/>
                <w:szCs w:val="18"/>
                <w:lang w:eastAsia="ja-JP"/>
              </w:rPr>
            </w:pPr>
          </w:p>
        </w:tc>
        <w:tc>
          <w:tcPr>
            <w:tcW w:w="2444" w:type="pct"/>
            <w:vMerge/>
            <w:shd w:val="clear" w:color="auto" w:fill="auto"/>
          </w:tcPr>
          <w:p w14:paraId="69D0535D"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781B0CF2" w14:textId="77777777" w:rsidR="00547B72" w:rsidRPr="000E342B" w:rsidRDefault="00547B72" w:rsidP="00630761">
            <w:pPr>
              <w:spacing w:before="0"/>
              <w:jc w:val="center"/>
              <w:rPr>
                <w:b/>
                <w:bCs/>
                <w:sz w:val="18"/>
                <w:szCs w:val="18"/>
                <w:lang w:eastAsia="ja-JP"/>
              </w:rPr>
            </w:pPr>
            <w:r w:rsidRPr="000E342B">
              <w:t>148(6)</w:t>
            </w:r>
          </w:p>
        </w:tc>
        <w:tc>
          <w:tcPr>
            <w:tcW w:w="384" w:type="pct"/>
            <w:shd w:val="clear" w:color="auto" w:fill="D9D9D9" w:themeFill="background1" w:themeFillShade="D9"/>
          </w:tcPr>
          <w:p w14:paraId="40CC8AE9"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01F9F52C"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6D3F5B5E" w14:textId="77777777" w:rsidR="00547B72" w:rsidRPr="000E342B" w:rsidRDefault="00547B72" w:rsidP="00630761">
            <w:pPr>
              <w:spacing w:before="0"/>
              <w:jc w:val="center"/>
            </w:pPr>
            <w:r w:rsidRPr="000E342B">
              <w:t>300 pu</w:t>
            </w:r>
          </w:p>
          <w:p w14:paraId="32A122CF" w14:textId="77777777" w:rsidR="00547B72" w:rsidRPr="000E342B" w:rsidRDefault="00547B72" w:rsidP="00630761">
            <w:pPr>
              <w:spacing w:before="0"/>
              <w:jc w:val="center"/>
              <w:rPr>
                <w:b/>
                <w:bCs/>
                <w:sz w:val="18"/>
                <w:szCs w:val="18"/>
                <w:lang w:eastAsia="ja-JP"/>
              </w:rPr>
            </w:pPr>
            <w:r w:rsidRPr="000E342B">
              <w:t>$66,600</w:t>
            </w:r>
          </w:p>
        </w:tc>
        <w:tc>
          <w:tcPr>
            <w:tcW w:w="491" w:type="pct"/>
            <w:shd w:val="clear" w:color="auto" w:fill="auto"/>
          </w:tcPr>
          <w:p w14:paraId="6AC11AC4"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0D2CBA8E"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53BF2D9D" w14:textId="77777777" w:rsidTr="00630761">
        <w:trPr>
          <w:cantSplit/>
          <w:tblHeader/>
        </w:trPr>
        <w:tc>
          <w:tcPr>
            <w:tcW w:w="354" w:type="pct"/>
            <w:vMerge/>
            <w:shd w:val="clear" w:color="auto" w:fill="D9E2F3" w:themeFill="accent1" w:themeFillTint="33"/>
          </w:tcPr>
          <w:p w14:paraId="275296E1" w14:textId="77777777" w:rsidR="00547B72" w:rsidRPr="000E342B" w:rsidRDefault="00547B72" w:rsidP="00630761">
            <w:pPr>
              <w:spacing w:before="0"/>
              <w:rPr>
                <w:b/>
                <w:bCs/>
                <w:sz w:val="18"/>
                <w:szCs w:val="18"/>
                <w:lang w:eastAsia="ja-JP"/>
              </w:rPr>
            </w:pPr>
          </w:p>
        </w:tc>
        <w:tc>
          <w:tcPr>
            <w:tcW w:w="2444" w:type="pct"/>
            <w:vMerge/>
            <w:shd w:val="clear" w:color="auto" w:fill="auto"/>
          </w:tcPr>
          <w:p w14:paraId="267304CA"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258B8510" w14:textId="77777777" w:rsidR="00547B72" w:rsidRPr="000E342B" w:rsidRDefault="00547B72" w:rsidP="00630761">
            <w:pPr>
              <w:spacing w:before="0"/>
              <w:jc w:val="center"/>
              <w:rPr>
                <w:b/>
                <w:bCs/>
                <w:sz w:val="18"/>
                <w:szCs w:val="18"/>
                <w:lang w:eastAsia="ja-JP"/>
              </w:rPr>
            </w:pPr>
            <w:r w:rsidRPr="000E342B">
              <w:t>148(7)</w:t>
            </w:r>
          </w:p>
        </w:tc>
        <w:tc>
          <w:tcPr>
            <w:tcW w:w="384" w:type="pct"/>
            <w:shd w:val="clear" w:color="auto" w:fill="D9D9D9" w:themeFill="background1" w:themeFillShade="D9"/>
          </w:tcPr>
          <w:p w14:paraId="747C7BD2" w14:textId="77777777" w:rsidR="00547B72" w:rsidRPr="000E342B" w:rsidRDefault="00547B72" w:rsidP="00630761">
            <w:pPr>
              <w:spacing w:before="0"/>
              <w:jc w:val="center"/>
            </w:pPr>
            <w:r w:rsidRPr="000E342B">
              <w:t>120 pu</w:t>
            </w:r>
          </w:p>
          <w:p w14:paraId="66A70C4A" w14:textId="77777777" w:rsidR="00547B72" w:rsidRPr="000E342B" w:rsidRDefault="00547B72" w:rsidP="00630761">
            <w:pPr>
              <w:spacing w:before="0"/>
              <w:jc w:val="center"/>
              <w:rPr>
                <w:b/>
                <w:bCs/>
                <w:sz w:val="18"/>
                <w:szCs w:val="18"/>
                <w:lang w:eastAsia="ja-JP"/>
              </w:rPr>
            </w:pPr>
            <w:r w:rsidRPr="000E342B">
              <w:t>$26,640</w:t>
            </w:r>
          </w:p>
        </w:tc>
        <w:tc>
          <w:tcPr>
            <w:tcW w:w="424" w:type="pct"/>
            <w:shd w:val="clear" w:color="auto" w:fill="auto"/>
          </w:tcPr>
          <w:p w14:paraId="318F6D64" w14:textId="77777777" w:rsidR="00547B72" w:rsidRPr="000E342B" w:rsidRDefault="00547B72" w:rsidP="00630761">
            <w:pPr>
              <w:spacing w:before="0"/>
              <w:jc w:val="center"/>
            </w:pPr>
            <w:r w:rsidRPr="000E342B">
              <w:t>300 pu</w:t>
            </w:r>
          </w:p>
          <w:p w14:paraId="66646E7E" w14:textId="77777777" w:rsidR="00547B72" w:rsidRPr="000E342B" w:rsidRDefault="00547B72" w:rsidP="00630761">
            <w:pPr>
              <w:spacing w:before="0"/>
              <w:jc w:val="center"/>
              <w:rPr>
                <w:b/>
                <w:bCs/>
                <w:sz w:val="18"/>
                <w:szCs w:val="18"/>
                <w:lang w:eastAsia="ja-JP"/>
              </w:rPr>
            </w:pPr>
            <w:r w:rsidRPr="000E342B">
              <w:t>$66,600</w:t>
            </w:r>
          </w:p>
        </w:tc>
        <w:tc>
          <w:tcPr>
            <w:tcW w:w="429" w:type="pct"/>
            <w:shd w:val="clear" w:color="auto" w:fill="D9D9D9" w:themeFill="background1" w:themeFillShade="D9"/>
          </w:tcPr>
          <w:p w14:paraId="35EFB775" w14:textId="77777777" w:rsidR="00547B72" w:rsidRPr="000E342B" w:rsidRDefault="00547B72" w:rsidP="00630761">
            <w:pPr>
              <w:spacing w:before="0"/>
              <w:jc w:val="center"/>
              <w:rPr>
                <w:b/>
                <w:bCs/>
                <w:sz w:val="18"/>
                <w:szCs w:val="18"/>
                <w:lang w:eastAsia="ja-JP"/>
              </w:rPr>
            </w:pPr>
            <w:r w:rsidRPr="000E342B">
              <w:t>-</w:t>
            </w:r>
          </w:p>
        </w:tc>
        <w:tc>
          <w:tcPr>
            <w:tcW w:w="491" w:type="pct"/>
            <w:shd w:val="clear" w:color="auto" w:fill="auto"/>
          </w:tcPr>
          <w:p w14:paraId="485DDB9F" w14:textId="77777777" w:rsidR="00547B72" w:rsidRPr="000E342B" w:rsidRDefault="00547B72" w:rsidP="00630761">
            <w:pPr>
              <w:spacing w:before="0"/>
              <w:jc w:val="center"/>
              <w:rPr>
                <w:b/>
                <w:bCs/>
                <w:sz w:val="18"/>
                <w:szCs w:val="18"/>
                <w:lang w:eastAsia="ja-JP"/>
              </w:rPr>
            </w:pPr>
          </w:p>
        </w:tc>
      </w:tr>
      <w:tr w:rsidR="00547B72" w:rsidRPr="000E342B" w14:paraId="76520DAD" w14:textId="77777777" w:rsidTr="00630761">
        <w:trPr>
          <w:cantSplit/>
          <w:tblHeader/>
        </w:trPr>
        <w:tc>
          <w:tcPr>
            <w:tcW w:w="354" w:type="pct"/>
            <w:shd w:val="clear" w:color="auto" w:fill="D9E2F3" w:themeFill="accent1" w:themeFillTint="33"/>
          </w:tcPr>
          <w:p w14:paraId="6845CB7B" w14:textId="77777777" w:rsidR="00547B72" w:rsidRPr="000E342B" w:rsidRDefault="00547B72" w:rsidP="00630761">
            <w:pPr>
              <w:spacing w:before="0"/>
              <w:rPr>
                <w:b/>
                <w:bCs/>
                <w:sz w:val="18"/>
                <w:szCs w:val="18"/>
                <w:lang w:eastAsia="ja-JP"/>
              </w:rPr>
            </w:pPr>
            <w:r w:rsidRPr="000E342B">
              <w:t>149</w:t>
            </w:r>
          </w:p>
        </w:tc>
        <w:tc>
          <w:tcPr>
            <w:tcW w:w="2444" w:type="pct"/>
            <w:shd w:val="clear" w:color="auto" w:fill="auto"/>
          </w:tcPr>
          <w:p w14:paraId="589C19A7" w14:textId="77777777" w:rsidR="00547B72" w:rsidRPr="000E342B" w:rsidRDefault="00547B72" w:rsidP="00630761">
            <w:pPr>
              <w:spacing w:before="0"/>
              <w:rPr>
                <w:b/>
                <w:bCs/>
                <w:sz w:val="18"/>
                <w:szCs w:val="18"/>
                <w:lang w:eastAsia="ja-JP"/>
              </w:rPr>
            </w:pPr>
            <w:r w:rsidRPr="000E342B">
              <w:t>Person must not receive or possess goods unloaded from an aircraft or vessel in contravention of Division 6 of Part 1 of Chapter 3</w:t>
            </w:r>
          </w:p>
        </w:tc>
        <w:tc>
          <w:tcPr>
            <w:tcW w:w="473" w:type="pct"/>
            <w:shd w:val="clear" w:color="auto" w:fill="D9E2F3" w:themeFill="accent1" w:themeFillTint="33"/>
          </w:tcPr>
          <w:p w14:paraId="7791120D" w14:textId="77777777" w:rsidR="00547B72" w:rsidRPr="000E342B" w:rsidRDefault="00547B72" w:rsidP="00630761">
            <w:pPr>
              <w:spacing w:before="0"/>
              <w:jc w:val="center"/>
              <w:rPr>
                <w:b/>
                <w:bCs/>
                <w:sz w:val="18"/>
                <w:szCs w:val="18"/>
                <w:lang w:eastAsia="ja-JP"/>
              </w:rPr>
            </w:pPr>
            <w:r w:rsidRPr="000E342B">
              <w:t>149(1)</w:t>
            </w:r>
          </w:p>
        </w:tc>
        <w:tc>
          <w:tcPr>
            <w:tcW w:w="384" w:type="pct"/>
            <w:shd w:val="clear" w:color="auto" w:fill="D9D9D9" w:themeFill="background1" w:themeFillShade="D9"/>
          </w:tcPr>
          <w:p w14:paraId="136E7CA1" w14:textId="77777777" w:rsidR="00547B72" w:rsidRPr="000E342B" w:rsidRDefault="00547B72" w:rsidP="00630761">
            <w:pPr>
              <w:spacing w:before="0"/>
              <w:jc w:val="center"/>
            </w:pPr>
            <w:r w:rsidRPr="000E342B">
              <w:t>120 pu</w:t>
            </w:r>
          </w:p>
          <w:p w14:paraId="10AFE25D" w14:textId="77777777" w:rsidR="00547B72" w:rsidRPr="000E342B" w:rsidRDefault="00547B72" w:rsidP="00630761">
            <w:pPr>
              <w:spacing w:before="0"/>
              <w:jc w:val="center"/>
              <w:rPr>
                <w:b/>
                <w:bCs/>
                <w:sz w:val="18"/>
                <w:szCs w:val="18"/>
                <w:lang w:eastAsia="ja-JP"/>
              </w:rPr>
            </w:pPr>
            <w:r w:rsidRPr="000E342B">
              <w:t>$26,640</w:t>
            </w:r>
          </w:p>
        </w:tc>
        <w:tc>
          <w:tcPr>
            <w:tcW w:w="424" w:type="pct"/>
            <w:shd w:val="clear" w:color="auto" w:fill="auto"/>
          </w:tcPr>
          <w:p w14:paraId="468BD444" w14:textId="77777777" w:rsidR="00547B72" w:rsidRPr="000E342B" w:rsidRDefault="00547B72" w:rsidP="00630761">
            <w:pPr>
              <w:spacing w:before="0"/>
              <w:jc w:val="center"/>
            </w:pPr>
            <w:r w:rsidRPr="000E342B">
              <w:t>300 pu</w:t>
            </w:r>
          </w:p>
          <w:p w14:paraId="7D5AFD4E" w14:textId="77777777" w:rsidR="00547B72" w:rsidRPr="000E342B" w:rsidRDefault="00547B72" w:rsidP="00630761">
            <w:pPr>
              <w:spacing w:before="0"/>
              <w:jc w:val="center"/>
              <w:rPr>
                <w:b/>
                <w:bCs/>
                <w:sz w:val="18"/>
                <w:szCs w:val="18"/>
                <w:lang w:eastAsia="ja-JP"/>
              </w:rPr>
            </w:pPr>
            <w:r w:rsidRPr="000E342B">
              <w:t>$66,600</w:t>
            </w:r>
          </w:p>
        </w:tc>
        <w:tc>
          <w:tcPr>
            <w:tcW w:w="429" w:type="pct"/>
            <w:shd w:val="clear" w:color="auto" w:fill="D9D9D9" w:themeFill="background1" w:themeFillShade="D9"/>
          </w:tcPr>
          <w:p w14:paraId="26B499EA" w14:textId="77777777" w:rsidR="00547B72" w:rsidRPr="000E342B" w:rsidRDefault="00547B72" w:rsidP="00630761">
            <w:pPr>
              <w:spacing w:before="0"/>
              <w:jc w:val="center"/>
              <w:rPr>
                <w:b/>
                <w:bCs/>
                <w:sz w:val="18"/>
                <w:szCs w:val="18"/>
                <w:lang w:eastAsia="ja-JP"/>
              </w:rPr>
            </w:pPr>
          </w:p>
        </w:tc>
        <w:tc>
          <w:tcPr>
            <w:tcW w:w="491" w:type="pct"/>
            <w:shd w:val="clear" w:color="auto" w:fill="auto"/>
          </w:tcPr>
          <w:p w14:paraId="79817428" w14:textId="77777777" w:rsidR="00547B72" w:rsidRPr="000E342B" w:rsidRDefault="00547B72" w:rsidP="00630761">
            <w:pPr>
              <w:spacing w:before="0"/>
              <w:jc w:val="center"/>
              <w:rPr>
                <w:b/>
                <w:bCs/>
                <w:sz w:val="18"/>
                <w:szCs w:val="18"/>
                <w:lang w:eastAsia="ja-JP"/>
              </w:rPr>
            </w:pPr>
          </w:p>
        </w:tc>
      </w:tr>
      <w:tr w:rsidR="00547B72" w:rsidRPr="000E342B" w14:paraId="492EF1F1" w14:textId="77777777" w:rsidTr="00630761">
        <w:trPr>
          <w:cantSplit/>
          <w:tblHeader/>
        </w:trPr>
        <w:tc>
          <w:tcPr>
            <w:tcW w:w="5000" w:type="pct"/>
            <w:gridSpan w:val="7"/>
            <w:shd w:val="clear" w:color="auto" w:fill="D9E2F3" w:themeFill="accent1" w:themeFillTint="33"/>
          </w:tcPr>
          <w:p w14:paraId="44E39C76" w14:textId="77777777" w:rsidR="00547B72" w:rsidRPr="000E342B" w:rsidRDefault="00547B72" w:rsidP="00630761">
            <w:pPr>
              <w:spacing w:before="0"/>
              <w:rPr>
                <w:b/>
                <w:bCs/>
              </w:rPr>
            </w:pPr>
            <w:r w:rsidRPr="000E342B">
              <w:rPr>
                <w:b/>
                <w:bCs/>
              </w:rPr>
              <w:t>Chapter 3 – Managing biosecurity risks: goods</w:t>
            </w:r>
          </w:p>
          <w:p w14:paraId="6AF62305" w14:textId="77777777" w:rsidR="00547B72" w:rsidRPr="000E342B" w:rsidRDefault="00547B72" w:rsidP="00630761">
            <w:pPr>
              <w:spacing w:before="0"/>
              <w:rPr>
                <w:b/>
                <w:bCs/>
              </w:rPr>
            </w:pPr>
            <w:r w:rsidRPr="000E342B">
              <w:rPr>
                <w:b/>
                <w:bCs/>
              </w:rPr>
              <w:t>Part 1 – Goods brought into Australian territory</w:t>
            </w:r>
          </w:p>
          <w:p w14:paraId="7FAA73F1" w14:textId="77777777" w:rsidR="00547B72" w:rsidRPr="000E342B" w:rsidRDefault="00547B72" w:rsidP="00630761">
            <w:pPr>
              <w:spacing w:before="0"/>
              <w:rPr>
                <w:b/>
                <w:bCs/>
                <w:sz w:val="18"/>
                <w:szCs w:val="18"/>
                <w:lang w:eastAsia="ja-JP"/>
              </w:rPr>
            </w:pPr>
            <w:r w:rsidRPr="000E342B">
              <w:rPr>
                <w:b/>
                <w:bCs/>
              </w:rPr>
              <w:t>Division 8 – Reporting biosecurity incidents</w:t>
            </w:r>
          </w:p>
        </w:tc>
      </w:tr>
      <w:tr w:rsidR="00547B72" w:rsidRPr="000E342B" w14:paraId="3309B872" w14:textId="77777777" w:rsidTr="00630761">
        <w:trPr>
          <w:cantSplit/>
          <w:tblHeader/>
        </w:trPr>
        <w:tc>
          <w:tcPr>
            <w:tcW w:w="354" w:type="pct"/>
            <w:vMerge w:val="restart"/>
            <w:shd w:val="clear" w:color="auto" w:fill="D9E2F3" w:themeFill="accent1" w:themeFillTint="33"/>
          </w:tcPr>
          <w:p w14:paraId="29047B1A" w14:textId="77777777" w:rsidR="00547B72" w:rsidRPr="000E342B" w:rsidRDefault="00547B72" w:rsidP="00630761">
            <w:pPr>
              <w:spacing w:before="0"/>
              <w:rPr>
                <w:b/>
                <w:bCs/>
                <w:sz w:val="18"/>
                <w:szCs w:val="18"/>
                <w:lang w:eastAsia="ja-JP"/>
              </w:rPr>
            </w:pPr>
            <w:r w:rsidRPr="000E342B">
              <w:t>155</w:t>
            </w:r>
          </w:p>
        </w:tc>
        <w:tc>
          <w:tcPr>
            <w:tcW w:w="2444" w:type="pct"/>
            <w:vMerge w:val="restart"/>
            <w:shd w:val="clear" w:color="auto" w:fill="auto"/>
          </w:tcPr>
          <w:p w14:paraId="2BF3520A" w14:textId="77777777" w:rsidR="00547B72" w:rsidRPr="000E342B" w:rsidRDefault="00547B72" w:rsidP="00630761">
            <w:pPr>
              <w:spacing w:before="0"/>
              <w:rPr>
                <w:b/>
                <w:bCs/>
                <w:sz w:val="18"/>
                <w:szCs w:val="18"/>
                <w:lang w:eastAsia="ja-JP"/>
              </w:rPr>
            </w:pPr>
            <w:r w:rsidRPr="000E342B">
              <w:t xml:space="preserve">Person in charge of an aircraft or vessel carrying goods must report to a biosecurity officer or the Director of Biosecurity a reportable biosecurity incident as soon as practicable after becoming aware of the incident </w:t>
            </w:r>
          </w:p>
        </w:tc>
        <w:tc>
          <w:tcPr>
            <w:tcW w:w="473" w:type="pct"/>
            <w:shd w:val="clear" w:color="auto" w:fill="D9E2F3" w:themeFill="accent1" w:themeFillTint="33"/>
          </w:tcPr>
          <w:p w14:paraId="309F08F3" w14:textId="77777777" w:rsidR="00547B72" w:rsidRPr="000E342B" w:rsidRDefault="00547B72" w:rsidP="00630761">
            <w:pPr>
              <w:spacing w:before="0"/>
              <w:jc w:val="center"/>
              <w:rPr>
                <w:b/>
                <w:bCs/>
                <w:sz w:val="18"/>
                <w:szCs w:val="18"/>
                <w:lang w:eastAsia="ja-JP"/>
              </w:rPr>
            </w:pPr>
            <w:r w:rsidRPr="000E342B">
              <w:t>155(2)</w:t>
            </w:r>
          </w:p>
        </w:tc>
        <w:tc>
          <w:tcPr>
            <w:tcW w:w="384" w:type="pct"/>
            <w:shd w:val="clear" w:color="auto" w:fill="D9D9D9" w:themeFill="background1" w:themeFillShade="D9"/>
          </w:tcPr>
          <w:p w14:paraId="60271869"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56E04E95"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76338D2E" w14:textId="77777777" w:rsidR="00547B72" w:rsidRPr="000E342B" w:rsidRDefault="00547B72" w:rsidP="00630761">
            <w:pPr>
              <w:spacing w:before="0"/>
              <w:jc w:val="center"/>
            </w:pPr>
            <w:r w:rsidRPr="000E342B">
              <w:t>120 pu</w:t>
            </w:r>
          </w:p>
          <w:p w14:paraId="32BC22DC" w14:textId="77777777" w:rsidR="00547B72" w:rsidRPr="000E342B" w:rsidRDefault="00547B72" w:rsidP="00630761">
            <w:pPr>
              <w:spacing w:before="0"/>
              <w:jc w:val="center"/>
              <w:rPr>
                <w:b/>
                <w:bCs/>
                <w:sz w:val="18"/>
                <w:szCs w:val="18"/>
                <w:lang w:eastAsia="ja-JP"/>
              </w:rPr>
            </w:pPr>
            <w:r w:rsidRPr="000E342B">
              <w:t>$26,640</w:t>
            </w:r>
          </w:p>
        </w:tc>
        <w:tc>
          <w:tcPr>
            <w:tcW w:w="491" w:type="pct"/>
            <w:shd w:val="clear" w:color="auto" w:fill="auto"/>
          </w:tcPr>
          <w:p w14:paraId="76922337"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5F5DF841"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3E7F590F" w14:textId="77777777" w:rsidTr="00630761">
        <w:trPr>
          <w:cantSplit/>
          <w:tblHeader/>
        </w:trPr>
        <w:tc>
          <w:tcPr>
            <w:tcW w:w="354" w:type="pct"/>
            <w:vMerge/>
            <w:shd w:val="clear" w:color="auto" w:fill="D9E2F3" w:themeFill="accent1" w:themeFillTint="33"/>
          </w:tcPr>
          <w:p w14:paraId="16F5B74C" w14:textId="77777777" w:rsidR="00547B72" w:rsidRPr="000E342B" w:rsidRDefault="00547B72" w:rsidP="00630761">
            <w:pPr>
              <w:spacing w:before="0"/>
              <w:rPr>
                <w:b/>
                <w:bCs/>
                <w:sz w:val="18"/>
                <w:szCs w:val="18"/>
                <w:lang w:eastAsia="ja-JP"/>
              </w:rPr>
            </w:pPr>
          </w:p>
        </w:tc>
        <w:tc>
          <w:tcPr>
            <w:tcW w:w="2444" w:type="pct"/>
            <w:vMerge/>
            <w:shd w:val="clear" w:color="auto" w:fill="auto"/>
          </w:tcPr>
          <w:p w14:paraId="6B8595D4"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7ED1E132" w14:textId="77777777" w:rsidR="00547B72" w:rsidRPr="000E342B" w:rsidRDefault="00547B72" w:rsidP="00630761">
            <w:pPr>
              <w:spacing w:before="0"/>
              <w:jc w:val="center"/>
              <w:rPr>
                <w:b/>
                <w:bCs/>
                <w:sz w:val="18"/>
                <w:szCs w:val="18"/>
                <w:lang w:eastAsia="ja-JP"/>
              </w:rPr>
            </w:pPr>
            <w:r w:rsidRPr="000E342B">
              <w:t>155(3)</w:t>
            </w:r>
          </w:p>
        </w:tc>
        <w:tc>
          <w:tcPr>
            <w:tcW w:w="384" w:type="pct"/>
            <w:shd w:val="clear" w:color="auto" w:fill="D9D9D9" w:themeFill="background1" w:themeFillShade="D9"/>
          </w:tcPr>
          <w:p w14:paraId="54B92CAE" w14:textId="77777777" w:rsidR="00547B72" w:rsidRPr="000E342B" w:rsidRDefault="00547B72" w:rsidP="00630761">
            <w:pPr>
              <w:spacing w:before="0"/>
              <w:jc w:val="center"/>
            </w:pPr>
            <w:r w:rsidRPr="000E342B">
              <w:t>120 pu</w:t>
            </w:r>
          </w:p>
          <w:p w14:paraId="5EF3F03E" w14:textId="77777777" w:rsidR="00547B72" w:rsidRPr="000E342B" w:rsidRDefault="00547B72" w:rsidP="00630761">
            <w:pPr>
              <w:spacing w:before="0"/>
              <w:jc w:val="center"/>
              <w:rPr>
                <w:b/>
                <w:bCs/>
                <w:sz w:val="18"/>
                <w:szCs w:val="18"/>
                <w:lang w:eastAsia="ja-JP"/>
              </w:rPr>
            </w:pPr>
            <w:r w:rsidRPr="000E342B">
              <w:t>$26,640</w:t>
            </w:r>
          </w:p>
        </w:tc>
        <w:tc>
          <w:tcPr>
            <w:tcW w:w="424" w:type="pct"/>
            <w:shd w:val="clear" w:color="auto" w:fill="auto"/>
          </w:tcPr>
          <w:p w14:paraId="4F545CFB" w14:textId="77777777" w:rsidR="00547B72" w:rsidRPr="000E342B" w:rsidRDefault="00547B72" w:rsidP="00630761">
            <w:pPr>
              <w:spacing w:before="0"/>
              <w:jc w:val="center"/>
            </w:pPr>
            <w:r w:rsidRPr="000E342B">
              <w:t>300 pu</w:t>
            </w:r>
          </w:p>
          <w:p w14:paraId="727FD695" w14:textId="77777777" w:rsidR="00547B72" w:rsidRPr="000E342B" w:rsidRDefault="00547B72" w:rsidP="00630761">
            <w:pPr>
              <w:spacing w:before="0"/>
              <w:jc w:val="center"/>
              <w:rPr>
                <w:b/>
                <w:bCs/>
                <w:sz w:val="18"/>
                <w:szCs w:val="18"/>
                <w:lang w:eastAsia="ja-JP"/>
              </w:rPr>
            </w:pPr>
            <w:r w:rsidRPr="000E342B">
              <w:t>$66,600</w:t>
            </w:r>
          </w:p>
        </w:tc>
        <w:tc>
          <w:tcPr>
            <w:tcW w:w="429" w:type="pct"/>
            <w:shd w:val="clear" w:color="auto" w:fill="D9D9D9" w:themeFill="background1" w:themeFillShade="D9"/>
          </w:tcPr>
          <w:p w14:paraId="2D580452" w14:textId="77777777" w:rsidR="00547B72" w:rsidRPr="000E342B" w:rsidRDefault="00547B72" w:rsidP="00630761">
            <w:pPr>
              <w:spacing w:before="0"/>
              <w:jc w:val="center"/>
              <w:rPr>
                <w:b/>
                <w:bCs/>
                <w:sz w:val="18"/>
                <w:szCs w:val="18"/>
                <w:lang w:eastAsia="ja-JP"/>
              </w:rPr>
            </w:pPr>
            <w:r w:rsidRPr="000E342B">
              <w:t>-</w:t>
            </w:r>
          </w:p>
        </w:tc>
        <w:tc>
          <w:tcPr>
            <w:tcW w:w="491" w:type="pct"/>
            <w:shd w:val="clear" w:color="auto" w:fill="auto"/>
          </w:tcPr>
          <w:p w14:paraId="24AA90BD" w14:textId="77777777" w:rsidR="00547B72" w:rsidRPr="000E342B" w:rsidRDefault="00547B72" w:rsidP="00630761">
            <w:pPr>
              <w:spacing w:before="0"/>
              <w:jc w:val="center"/>
              <w:rPr>
                <w:b/>
                <w:bCs/>
                <w:sz w:val="18"/>
                <w:szCs w:val="18"/>
                <w:lang w:eastAsia="ja-JP"/>
              </w:rPr>
            </w:pPr>
          </w:p>
        </w:tc>
      </w:tr>
      <w:tr w:rsidR="00547B72" w:rsidRPr="000E342B" w14:paraId="74BF95AE" w14:textId="77777777" w:rsidTr="00630761">
        <w:trPr>
          <w:cantSplit/>
          <w:tblHeader/>
        </w:trPr>
        <w:tc>
          <w:tcPr>
            <w:tcW w:w="354" w:type="pct"/>
            <w:vMerge w:val="restart"/>
            <w:shd w:val="clear" w:color="auto" w:fill="D9E2F3" w:themeFill="accent1" w:themeFillTint="33"/>
          </w:tcPr>
          <w:p w14:paraId="36886958" w14:textId="77777777" w:rsidR="00547B72" w:rsidRPr="000E342B" w:rsidRDefault="00547B72" w:rsidP="00630761">
            <w:pPr>
              <w:spacing w:before="0"/>
              <w:rPr>
                <w:b/>
                <w:bCs/>
                <w:sz w:val="18"/>
                <w:szCs w:val="18"/>
                <w:lang w:eastAsia="ja-JP"/>
              </w:rPr>
            </w:pPr>
            <w:r w:rsidRPr="000E342B">
              <w:t>156</w:t>
            </w:r>
          </w:p>
        </w:tc>
        <w:tc>
          <w:tcPr>
            <w:tcW w:w="2444" w:type="pct"/>
            <w:vMerge w:val="restart"/>
            <w:shd w:val="clear" w:color="auto" w:fill="auto"/>
          </w:tcPr>
          <w:p w14:paraId="2A3E2718" w14:textId="77777777" w:rsidR="00547B72" w:rsidRPr="000E342B" w:rsidRDefault="00547B72" w:rsidP="00630761">
            <w:pPr>
              <w:spacing w:before="0"/>
              <w:rPr>
                <w:b/>
                <w:bCs/>
                <w:sz w:val="18"/>
                <w:szCs w:val="18"/>
                <w:lang w:eastAsia="ja-JP"/>
              </w:rPr>
            </w:pPr>
            <w:r w:rsidRPr="000E342B">
              <w:t xml:space="preserve">Person in charge of the goods must report to a biosecurity officer or the Director of Biosecurity a reportable biosecurity incident as soon as practicable after becoming aware of the incident </w:t>
            </w:r>
          </w:p>
        </w:tc>
        <w:tc>
          <w:tcPr>
            <w:tcW w:w="473" w:type="pct"/>
            <w:shd w:val="clear" w:color="auto" w:fill="D9E2F3" w:themeFill="accent1" w:themeFillTint="33"/>
          </w:tcPr>
          <w:p w14:paraId="2D6E7A31" w14:textId="77777777" w:rsidR="00547B72" w:rsidRPr="000E342B" w:rsidRDefault="00547B72" w:rsidP="00630761">
            <w:pPr>
              <w:spacing w:before="0"/>
              <w:jc w:val="center"/>
              <w:rPr>
                <w:b/>
                <w:bCs/>
                <w:sz w:val="18"/>
                <w:szCs w:val="18"/>
                <w:lang w:eastAsia="ja-JP"/>
              </w:rPr>
            </w:pPr>
            <w:r w:rsidRPr="000E342B">
              <w:t>156(2)</w:t>
            </w:r>
          </w:p>
        </w:tc>
        <w:tc>
          <w:tcPr>
            <w:tcW w:w="384" w:type="pct"/>
            <w:shd w:val="clear" w:color="auto" w:fill="D9D9D9" w:themeFill="background1" w:themeFillShade="D9"/>
          </w:tcPr>
          <w:p w14:paraId="025285AB" w14:textId="77777777" w:rsidR="00547B72" w:rsidRPr="000E342B" w:rsidRDefault="00547B72" w:rsidP="00630761">
            <w:pPr>
              <w:spacing w:before="0"/>
              <w:jc w:val="center"/>
              <w:rPr>
                <w:b/>
                <w:bCs/>
                <w:sz w:val="18"/>
                <w:szCs w:val="18"/>
                <w:lang w:eastAsia="ja-JP"/>
              </w:rPr>
            </w:pPr>
            <w:r w:rsidRPr="000E342B">
              <w:t>-</w:t>
            </w:r>
          </w:p>
        </w:tc>
        <w:tc>
          <w:tcPr>
            <w:tcW w:w="424" w:type="pct"/>
            <w:shd w:val="clear" w:color="auto" w:fill="auto"/>
          </w:tcPr>
          <w:p w14:paraId="32DE98C2" w14:textId="77777777" w:rsidR="00547B72" w:rsidRPr="000E342B" w:rsidRDefault="00547B72" w:rsidP="00630761">
            <w:pPr>
              <w:spacing w:before="0"/>
              <w:jc w:val="center"/>
              <w:rPr>
                <w:b/>
                <w:bCs/>
                <w:sz w:val="18"/>
                <w:szCs w:val="18"/>
                <w:lang w:eastAsia="ja-JP"/>
              </w:rPr>
            </w:pPr>
            <w:r w:rsidRPr="000E342B">
              <w:t>-</w:t>
            </w:r>
          </w:p>
        </w:tc>
        <w:tc>
          <w:tcPr>
            <w:tcW w:w="429" w:type="pct"/>
            <w:shd w:val="clear" w:color="auto" w:fill="D9D9D9" w:themeFill="background1" w:themeFillShade="D9"/>
          </w:tcPr>
          <w:p w14:paraId="209727B1" w14:textId="77777777" w:rsidR="00547B72" w:rsidRPr="000E342B" w:rsidRDefault="00547B72" w:rsidP="00630761">
            <w:pPr>
              <w:spacing w:before="0"/>
              <w:jc w:val="center"/>
            </w:pPr>
            <w:r w:rsidRPr="000E342B">
              <w:t>120 pu</w:t>
            </w:r>
          </w:p>
          <w:p w14:paraId="61DA7A47" w14:textId="77777777" w:rsidR="00547B72" w:rsidRPr="000E342B" w:rsidRDefault="00547B72" w:rsidP="00630761">
            <w:pPr>
              <w:spacing w:before="0"/>
              <w:jc w:val="center"/>
              <w:rPr>
                <w:b/>
                <w:bCs/>
                <w:sz w:val="18"/>
                <w:szCs w:val="18"/>
                <w:lang w:eastAsia="ja-JP"/>
              </w:rPr>
            </w:pPr>
            <w:r w:rsidRPr="000E342B">
              <w:t>$26,640</w:t>
            </w:r>
          </w:p>
        </w:tc>
        <w:tc>
          <w:tcPr>
            <w:tcW w:w="491" w:type="pct"/>
            <w:shd w:val="clear" w:color="auto" w:fill="auto"/>
          </w:tcPr>
          <w:p w14:paraId="1591F2DA"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1B1E4EBE" w14:textId="77777777" w:rsidR="00547B72" w:rsidRPr="000E342B" w:rsidRDefault="00547B72" w:rsidP="00630761">
            <w:pPr>
              <w:spacing w:before="0"/>
              <w:jc w:val="center"/>
              <w:rPr>
                <w:b/>
                <w:bCs/>
                <w:sz w:val="18"/>
                <w:szCs w:val="18"/>
                <w:lang w:eastAsia="ja-JP"/>
              </w:rPr>
            </w:pPr>
            <w:r w:rsidRPr="000E342B">
              <w:rPr>
                <w:lang w:eastAsia="ja-JP"/>
              </w:rPr>
              <w:t>$222,000</w:t>
            </w:r>
          </w:p>
        </w:tc>
      </w:tr>
      <w:tr w:rsidR="00547B72" w:rsidRPr="000E342B" w14:paraId="33378B2C" w14:textId="77777777" w:rsidTr="00630761">
        <w:trPr>
          <w:cantSplit/>
          <w:tblHeader/>
        </w:trPr>
        <w:tc>
          <w:tcPr>
            <w:tcW w:w="354" w:type="pct"/>
            <w:vMerge/>
            <w:shd w:val="clear" w:color="auto" w:fill="D9E2F3" w:themeFill="accent1" w:themeFillTint="33"/>
          </w:tcPr>
          <w:p w14:paraId="74DE1910" w14:textId="77777777" w:rsidR="00547B72" w:rsidRPr="000E342B" w:rsidRDefault="00547B72" w:rsidP="00630761">
            <w:pPr>
              <w:spacing w:before="0"/>
              <w:rPr>
                <w:b/>
                <w:bCs/>
                <w:sz w:val="18"/>
                <w:szCs w:val="18"/>
                <w:lang w:eastAsia="ja-JP"/>
              </w:rPr>
            </w:pPr>
          </w:p>
        </w:tc>
        <w:tc>
          <w:tcPr>
            <w:tcW w:w="2444" w:type="pct"/>
            <w:vMerge/>
            <w:shd w:val="clear" w:color="auto" w:fill="auto"/>
          </w:tcPr>
          <w:p w14:paraId="0774678A" w14:textId="77777777" w:rsidR="00547B72" w:rsidRPr="000E342B" w:rsidRDefault="00547B72" w:rsidP="00630761">
            <w:pPr>
              <w:spacing w:before="0"/>
              <w:rPr>
                <w:b/>
                <w:bCs/>
                <w:sz w:val="18"/>
                <w:szCs w:val="18"/>
                <w:lang w:eastAsia="ja-JP"/>
              </w:rPr>
            </w:pPr>
          </w:p>
        </w:tc>
        <w:tc>
          <w:tcPr>
            <w:tcW w:w="473" w:type="pct"/>
            <w:shd w:val="clear" w:color="auto" w:fill="D9E2F3" w:themeFill="accent1" w:themeFillTint="33"/>
          </w:tcPr>
          <w:p w14:paraId="17B4BBD4" w14:textId="77777777" w:rsidR="00547B72" w:rsidRPr="000E342B" w:rsidRDefault="00547B72" w:rsidP="00630761">
            <w:pPr>
              <w:spacing w:before="0"/>
              <w:jc w:val="center"/>
              <w:rPr>
                <w:b/>
                <w:bCs/>
                <w:sz w:val="18"/>
                <w:szCs w:val="18"/>
                <w:lang w:eastAsia="ja-JP"/>
              </w:rPr>
            </w:pPr>
            <w:r w:rsidRPr="000E342B">
              <w:t>156(3)</w:t>
            </w:r>
          </w:p>
        </w:tc>
        <w:tc>
          <w:tcPr>
            <w:tcW w:w="384" w:type="pct"/>
            <w:shd w:val="clear" w:color="auto" w:fill="D9D9D9" w:themeFill="background1" w:themeFillShade="D9"/>
          </w:tcPr>
          <w:p w14:paraId="0B966B51" w14:textId="77777777" w:rsidR="00547B72" w:rsidRPr="000E342B" w:rsidRDefault="00547B72" w:rsidP="00630761">
            <w:pPr>
              <w:spacing w:before="0"/>
              <w:jc w:val="center"/>
            </w:pPr>
            <w:r w:rsidRPr="000E342B">
              <w:t>120 pu</w:t>
            </w:r>
          </w:p>
          <w:p w14:paraId="249FB7DA" w14:textId="77777777" w:rsidR="00547B72" w:rsidRPr="000E342B" w:rsidRDefault="00547B72" w:rsidP="00630761">
            <w:pPr>
              <w:spacing w:before="0"/>
              <w:jc w:val="center"/>
              <w:rPr>
                <w:b/>
                <w:bCs/>
                <w:sz w:val="18"/>
                <w:szCs w:val="18"/>
                <w:lang w:eastAsia="ja-JP"/>
              </w:rPr>
            </w:pPr>
            <w:r w:rsidRPr="000E342B">
              <w:t>$26,640</w:t>
            </w:r>
          </w:p>
        </w:tc>
        <w:tc>
          <w:tcPr>
            <w:tcW w:w="424" w:type="pct"/>
            <w:shd w:val="clear" w:color="auto" w:fill="auto"/>
          </w:tcPr>
          <w:p w14:paraId="1E5CED3B" w14:textId="77777777" w:rsidR="00547B72" w:rsidRPr="000E342B" w:rsidRDefault="00547B72" w:rsidP="00630761">
            <w:pPr>
              <w:spacing w:before="0"/>
              <w:jc w:val="center"/>
            </w:pPr>
            <w:r w:rsidRPr="000E342B">
              <w:t>300 pu</w:t>
            </w:r>
          </w:p>
          <w:p w14:paraId="6E05AB66" w14:textId="77777777" w:rsidR="00547B72" w:rsidRPr="000E342B" w:rsidRDefault="00547B72" w:rsidP="00630761">
            <w:pPr>
              <w:spacing w:before="0"/>
              <w:jc w:val="center"/>
              <w:rPr>
                <w:b/>
                <w:bCs/>
                <w:sz w:val="18"/>
                <w:szCs w:val="18"/>
                <w:lang w:eastAsia="ja-JP"/>
              </w:rPr>
            </w:pPr>
            <w:r w:rsidRPr="000E342B">
              <w:t>$66,600</w:t>
            </w:r>
          </w:p>
        </w:tc>
        <w:tc>
          <w:tcPr>
            <w:tcW w:w="429" w:type="pct"/>
            <w:shd w:val="clear" w:color="auto" w:fill="D9D9D9" w:themeFill="background1" w:themeFillShade="D9"/>
          </w:tcPr>
          <w:p w14:paraId="6A8D6662" w14:textId="77777777" w:rsidR="00547B72" w:rsidRPr="000E342B" w:rsidRDefault="00547B72" w:rsidP="00630761">
            <w:pPr>
              <w:spacing w:before="0"/>
              <w:jc w:val="center"/>
              <w:rPr>
                <w:b/>
                <w:bCs/>
                <w:sz w:val="18"/>
                <w:szCs w:val="18"/>
                <w:lang w:eastAsia="ja-JP"/>
              </w:rPr>
            </w:pPr>
            <w:r w:rsidRPr="000E342B">
              <w:t>-</w:t>
            </w:r>
          </w:p>
        </w:tc>
        <w:tc>
          <w:tcPr>
            <w:tcW w:w="491" w:type="pct"/>
            <w:shd w:val="clear" w:color="auto" w:fill="auto"/>
          </w:tcPr>
          <w:p w14:paraId="4D9DA108" w14:textId="77777777" w:rsidR="00547B72" w:rsidRPr="000E342B" w:rsidRDefault="00547B72" w:rsidP="00630761">
            <w:pPr>
              <w:spacing w:before="0"/>
              <w:jc w:val="center"/>
              <w:rPr>
                <w:b/>
                <w:bCs/>
                <w:sz w:val="18"/>
                <w:szCs w:val="18"/>
                <w:lang w:eastAsia="ja-JP"/>
              </w:rPr>
            </w:pPr>
          </w:p>
        </w:tc>
      </w:tr>
      <w:tr w:rsidR="00547B72" w:rsidRPr="000E342B" w14:paraId="466798A4" w14:textId="77777777" w:rsidTr="00630761">
        <w:trPr>
          <w:cantSplit/>
          <w:trHeight w:val="473"/>
        </w:trPr>
        <w:tc>
          <w:tcPr>
            <w:tcW w:w="5000" w:type="pct"/>
            <w:gridSpan w:val="7"/>
            <w:shd w:val="clear" w:color="auto" w:fill="D9E2F3" w:themeFill="accent1" w:themeFillTint="33"/>
          </w:tcPr>
          <w:p w14:paraId="74E2D399" w14:textId="77777777" w:rsidR="00547B72" w:rsidRPr="000E342B" w:rsidRDefault="00547B72" w:rsidP="00630761">
            <w:pPr>
              <w:spacing w:before="0"/>
              <w:rPr>
                <w:rFonts w:cstheme="minorHAnsi"/>
                <w:b/>
                <w:bCs/>
                <w:lang w:eastAsia="ja-JP"/>
              </w:rPr>
            </w:pPr>
            <w:r w:rsidRPr="000E342B">
              <w:rPr>
                <w:rFonts w:cstheme="minorHAnsi"/>
                <w:b/>
                <w:bCs/>
                <w:lang w:eastAsia="ja-JP"/>
              </w:rPr>
              <w:t>Chapter 4 – Managing biosecurity risks: conveyances</w:t>
            </w:r>
          </w:p>
          <w:p w14:paraId="3CDC92C3" w14:textId="77777777" w:rsidR="00547B72" w:rsidRPr="000E342B" w:rsidRDefault="00547B72" w:rsidP="00630761">
            <w:pPr>
              <w:spacing w:before="0"/>
              <w:rPr>
                <w:rFonts w:cstheme="minorHAnsi"/>
                <w:b/>
                <w:bCs/>
                <w:lang w:eastAsia="ja-JP"/>
              </w:rPr>
            </w:pPr>
            <w:r w:rsidRPr="000E342B">
              <w:rPr>
                <w:rFonts w:cstheme="minorHAnsi"/>
                <w:b/>
                <w:bCs/>
                <w:lang w:eastAsia="ja-JP"/>
              </w:rPr>
              <w:t>Part 2—Conveyances entering Australian territory etc.</w:t>
            </w:r>
          </w:p>
          <w:p w14:paraId="74F7182E" w14:textId="77777777" w:rsidR="00547B72" w:rsidRPr="000E342B" w:rsidRDefault="00547B72" w:rsidP="00630761">
            <w:pPr>
              <w:spacing w:before="0"/>
              <w:rPr>
                <w:lang w:eastAsia="ja-JP"/>
              </w:rPr>
            </w:pPr>
            <w:r w:rsidRPr="000E342B">
              <w:rPr>
                <w:rFonts w:cstheme="minorHAnsi"/>
                <w:b/>
                <w:bCs/>
                <w:lang w:eastAsia="ja-JP"/>
              </w:rPr>
              <w:t>Division 4 – Assessment of level of biosecurity risk</w:t>
            </w:r>
          </w:p>
        </w:tc>
      </w:tr>
      <w:tr w:rsidR="00547B72" w:rsidRPr="000E342B" w14:paraId="5038276E" w14:textId="77777777" w:rsidTr="00630761">
        <w:trPr>
          <w:cantSplit/>
          <w:trHeight w:val="788"/>
        </w:trPr>
        <w:tc>
          <w:tcPr>
            <w:tcW w:w="354" w:type="pct"/>
            <w:shd w:val="clear" w:color="auto" w:fill="D9E2F3" w:themeFill="accent1" w:themeFillTint="33"/>
          </w:tcPr>
          <w:p w14:paraId="0F57B634" w14:textId="77777777" w:rsidR="00547B72" w:rsidRPr="000E342B" w:rsidRDefault="00547B72" w:rsidP="00630761">
            <w:pPr>
              <w:spacing w:before="0"/>
              <w:rPr>
                <w:lang w:eastAsia="ja-JP"/>
              </w:rPr>
            </w:pPr>
            <w:r w:rsidRPr="000E342B">
              <w:rPr>
                <w:lang w:eastAsia="ja-JP"/>
              </w:rPr>
              <w:t>198</w:t>
            </w:r>
          </w:p>
        </w:tc>
        <w:tc>
          <w:tcPr>
            <w:tcW w:w="2444" w:type="pct"/>
          </w:tcPr>
          <w:p w14:paraId="32F5AE93" w14:textId="77777777" w:rsidR="00547B72" w:rsidRPr="000E342B" w:rsidRDefault="00547B72" w:rsidP="00630761">
            <w:pPr>
              <w:spacing w:before="0"/>
            </w:pPr>
            <w:r w:rsidRPr="000E342B">
              <w:t xml:space="preserve">Person in charge or the operator of the conveyance must comply with a direction given by a biosecurity officer relating to securing the conveyance </w:t>
            </w:r>
          </w:p>
        </w:tc>
        <w:tc>
          <w:tcPr>
            <w:tcW w:w="473" w:type="pct"/>
            <w:shd w:val="clear" w:color="auto" w:fill="D9E2F3" w:themeFill="accent1" w:themeFillTint="33"/>
          </w:tcPr>
          <w:p w14:paraId="16371466" w14:textId="77777777" w:rsidR="00547B72" w:rsidRPr="000E342B" w:rsidRDefault="00547B72" w:rsidP="00630761">
            <w:pPr>
              <w:spacing w:before="0"/>
            </w:pPr>
            <w:r w:rsidRPr="000E342B">
              <w:t>198(2)</w:t>
            </w:r>
          </w:p>
        </w:tc>
        <w:tc>
          <w:tcPr>
            <w:tcW w:w="384" w:type="pct"/>
            <w:shd w:val="clear" w:color="auto" w:fill="D9D9D9" w:themeFill="background1" w:themeFillShade="D9"/>
          </w:tcPr>
          <w:p w14:paraId="5A163C1C" w14:textId="77777777" w:rsidR="00547B72" w:rsidRPr="000E342B" w:rsidRDefault="00547B72" w:rsidP="00630761">
            <w:pPr>
              <w:spacing w:before="0"/>
              <w:jc w:val="center"/>
            </w:pPr>
            <w:r w:rsidRPr="000E342B">
              <w:t>120 pu</w:t>
            </w:r>
            <w:r w:rsidRPr="000E342B">
              <w:br/>
              <w:t>$26,640</w:t>
            </w:r>
          </w:p>
        </w:tc>
        <w:tc>
          <w:tcPr>
            <w:tcW w:w="424" w:type="pct"/>
          </w:tcPr>
          <w:p w14:paraId="220CDAB6" w14:textId="77777777" w:rsidR="00547B72" w:rsidRPr="000E342B" w:rsidRDefault="00547B72" w:rsidP="00630761">
            <w:pPr>
              <w:spacing w:before="0"/>
              <w:jc w:val="center"/>
              <w:rPr>
                <w:lang w:eastAsia="ja-JP"/>
              </w:rPr>
            </w:pPr>
            <w:r w:rsidRPr="000E342B">
              <w:rPr>
                <w:lang w:eastAsia="ja-JP"/>
              </w:rPr>
              <w:t>300 pu</w:t>
            </w:r>
          </w:p>
          <w:p w14:paraId="622F381B"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4888424B" w14:textId="77777777" w:rsidR="00547B72" w:rsidRPr="000E342B" w:rsidRDefault="00547B72" w:rsidP="00630761">
            <w:pPr>
              <w:spacing w:before="0"/>
              <w:jc w:val="center"/>
              <w:rPr>
                <w:lang w:eastAsia="ja-JP"/>
              </w:rPr>
            </w:pPr>
            <w:r w:rsidRPr="000E342B">
              <w:rPr>
                <w:lang w:eastAsia="ja-JP"/>
              </w:rPr>
              <w:t>-</w:t>
            </w:r>
          </w:p>
        </w:tc>
        <w:tc>
          <w:tcPr>
            <w:tcW w:w="491" w:type="pct"/>
          </w:tcPr>
          <w:p w14:paraId="2E6412F6" w14:textId="77777777" w:rsidR="00547B72" w:rsidRPr="000E342B" w:rsidRDefault="00547B72" w:rsidP="00630761">
            <w:pPr>
              <w:spacing w:before="0"/>
              <w:jc w:val="center"/>
              <w:rPr>
                <w:lang w:eastAsia="ja-JP"/>
              </w:rPr>
            </w:pPr>
            <w:r w:rsidRPr="000E342B">
              <w:rPr>
                <w:lang w:eastAsia="ja-JP"/>
              </w:rPr>
              <w:t>-</w:t>
            </w:r>
          </w:p>
        </w:tc>
      </w:tr>
      <w:tr w:rsidR="00547B72" w:rsidRPr="000E342B" w14:paraId="08A6788F" w14:textId="77777777" w:rsidTr="00630761">
        <w:trPr>
          <w:cantSplit/>
          <w:trHeight w:val="798"/>
        </w:trPr>
        <w:tc>
          <w:tcPr>
            <w:tcW w:w="354" w:type="pct"/>
            <w:shd w:val="clear" w:color="auto" w:fill="D9E2F3" w:themeFill="accent1" w:themeFillTint="33"/>
          </w:tcPr>
          <w:p w14:paraId="154D8C6B" w14:textId="77777777" w:rsidR="00547B72" w:rsidRPr="000E342B" w:rsidRDefault="00547B72" w:rsidP="00630761">
            <w:pPr>
              <w:spacing w:before="0"/>
              <w:rPr>
                <w:lang w:eastAsia="ja-JP"/>
              </w:rPr>
            </w:pPr>
            <w:r w:rsidRPr="000E342B">
              <w:rPr>
                <w:lang w:eastAsia="ja-JP"/>
              </w:rPr>
              <w:lastRenderedPageBreak/>
              <w:t>200</w:t>
            </w:r>
          </w:p>
        </w:tc>
        <w:tc>
          <w:tcPr>
            <w:tcW w:w="2444" w:type="pct"/>
          </w:tcPr>
          <w:p w14:paraId="5B109619" w14:textId="77777777" w:rsidR="00547B72" w:rsidRPr="000E342B" w:rsidRDefault="00547B72" w:rsidP="00630761">
            <w:pPr>
              <w:spacing w:before="0"/>
            </w:pPr>
            <w:r w:rsidRPr="000E342B">
              <w:t>Person who the biosecurity officer suspects, on reasonable grounds, has information in relation to the conveyance must answer questions, or provide information in writing, in relation to the conveyance.</w:t>
            </w:r>
          </w:p>
        </w:tc>
        <w:tc>
          <w:tcPr>
            <w:tcW w:w="473" w:type="pct"/>
            <w:shd w:val="clear" w:color="auto" w:fill="D9E2F3" w:themeFill="accent1" w:themeFillTint="33"/>
          </w:tcPr>
          <w:p w14:paraId="265B23E3" w14:textId="77777777" w:rsidR="00547B72" w:rsidRPr="000E342B" w:rsidRDefault="00547B72" w:rsidP="00630761">
            <w:pPr>
              <w:spacing w:before="0"/>
            </w:pPr>
            <w:r w:rsidRPr="000E342B">
              <w:t>200(2)</w:t>
            </w:r>
          </w:p>
        </w:tc>
        <w:tc>
          <w:tcPr>
            <w:tcW w:w="384" w:type="pct"/>
            <w:shd w:val="clear" w:color="auto" w:fill="D9D9D9" w:themeFill="background1" w:themeFillShade="D9"/>
          </w:tcPr>
          <w:p w14:paraId="117C7709" w14:textId="77777777" w:rsidR="00547B72" w:rsidRPr="000E342B" w:rsidRDefault="00547B72" w:rsidP="00630761">
            <w:pPr>
              <w:spacing w:before="0"/>
              <w:jc w:val="center"/>
            </w:pPr>
            <w:r w:rsidRPr="000E342B">
              <w:t>120 pu</w:t>
            </w:r>
          </w:p>
          <w:p w14:paraId="6EEF5741" w14:textId="77777777" w:rsidR="00547B72" w:rsidRPr="000E342B" w:rsidRDefault="00547B72" w:rsidP="00630761">
            <w:pPr>
              <w:spacing w:before="0"/>
              <w:jc w:val="center"/>
            </w:pPr>
            <w:r w:rsidRPr="000E342B">
              <w:rPr>
                <w:lang w:eastAsia="ja-JP"/>
              </w:rPr>
              <w:t>$26,640</w:t>
            </w:r>
          </w:p>
        </w:tc>
        <w:tc>
          <w:tcPr>
            <w:tcW w:w="424" w:type="pct"/>
          </w:tcPr>
          <w:p w14:paraId="6EF34149" w14:textId="77777777" w:rsidR="00547B72" w:rsidRPr="000E342B" w:rsidRDefault="00547B72" w:rsidP="00630761">
            <w:pPr>
              <w:spacing w:before="0"/>
              <w:jc w:val="center"/>
              <w:rPr>
                <w:lang w:eastAsia="ja-JP"/>
              </w:rPr>
            </w:pPr>
            <w:r w:rsidRPr="000E342B">
              <w:rPr>
                <w:lang w:eastAsia="ja-JP"/>
              </w:rPr>
              <w:t>300 pu</w:t>
            </w:r>
          </w:p>
          <w:p w14:paraId="051C8449"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320B9440" w14:textId="77777777" w:rsidR="00547B72" w:rsidRPr="000E342B" w:rsidRDefault="00547B72" w:rsidP="00630761">
            <w:pPr>
              <w:spacing w:before="0"/>
              <w:jc w:val="center"/>
              <w:rPr>
                <w:lang w:eastAsia="ja-JP"/>
              </w:rPr>
            </w:pPr>
            <w:r w:rsidRPr="000E342B">
              <w:rPr>
                <w:lang w:eastAsia="ja-JP"/>
              </w:rPr>
              <w:t>-</w:t>
            </w:r>
          </w:p>
        </w:tc>
        <w:tc>
          <w:tcPr>
            <w:tcW w:w="491" w:type="pct"/>
          </w:tcPr>
          <w:p w14:paraId="014329C7" w14:textId="77777777" w:rsidR="00547B72" w:rsidRPr="000E342B" w:rsidRDefault="00547B72" w:rsidP="00630761">
            <w:pPr>
              <w:spacing w:before="0"/>
              <w:jc w:val="center"/>
              <w:rPr>
                <w:lang w:eastAsia="ja-JP"/>
              </w:rPr>
            </w:pPr>
            <w:r w:rsidRPr="000E342B">
              <w:rPr>
                <w:lang w:eastAsia="ja-JP"/>
              </w:rPr>
              <w:t>-</w:t>
            </w:r>
          </w:p>
        </w:tc>
      </w:tr>
      <w:tr w:rsidR="00547B72" w:rsidRPr="000E342B" w14:paraId="11695B32" w14:textId="77777777" w:rsidTr="00630761">
        <w:trPr>
          <w:cantSplit/>
          <w:trHeight w:val="760"/>
        </w:trPr>
        <w:tc>
          <w:tcPr>
            <w:tcW w:w="354" w:type="pct"/>
            <w:shd w:val="clear" w:color="auto" w:fill="D9E2F3" w:themeFill="accent1" w:themeFillTint="33"/>
          </w:tcPr>
          <w:p w14:paraId="756BC171" w14:textId="77777777" w:rsidR="00547B72" w:rsidRPr="000E342B" w:rsidRDefault="00547B72" w:rsidP="00630761">
            <w:pPr>
              <w:spacing w:before="0"/>
              <w:rPr>
                <w:lang w:eastAsia="ja-JP"/>
              </w:rPr>
            </w:pPr>
            <w:r w:rsidRPr="000E342B">
              <w:rPr>
                <w:lang w:eastAsia="ja-JP"/>
              </w:rPr>
              <w:t>201</w:t>
            </w:r>
          </w:p>
        </w:tc>
        <w:tc>
          <w:tcPr>
            <w:tcW w:w="2444" w:type="pct"/>
          </w:tcPr>
          <w:p w14:paraId="41E8F9EF" w14:textId="77777777" w:rsidR="00547B72" w:rsidRPr="000E342B" w:rsidRDefault="00547B72" w:rsidP="00630761">
            <w:pPr>
              <w:spacing w:before="0"/>
            </w:pPr>
            <w:r w:rsidRPr="000E342B">
              <w:t>Person must produce documents relating to conveyances when required by biosecurity officer if biosecurity officer suspects, on reasonable grounds, that the person has custody or control of documents in relation to the conveyance</w:t>
            </w:r>
          </w:p>
        </w:tc>
        <w:tc>
          <w:tcPr>
            <w:tcW w:w="473" w:type="pct"/>
            <w:shd w:val="clear" w:color="auto" w:fill="D9E2F3" w:themeFill="accent1" w:themeFillTint="33"/>
          </w:tcPr>
          <w:p w14:paraId="21C91B05" w14:textId="77777777" w:rsidR="00547B72" w:rsidRPr="000E342B" w:rsidRDefault="00547B72" w:rsidP="00630761">
            <w:pPr>
              <w:spacing w:before="0"/>
            </w:pPr>
            <w:r w:rsidRPr="000E342B">
              <w:t>201(3)</w:t>
            </w:r>
          </w:p>
        </w:tc>
        <w:tc>
          <w:tcPr>
            <w:tcW w:w="384" w:type="pct"/>
            <w:shd w:val="clear" w:color="auto" w:fill="D9D9D9" w:themeFill="background1" w:themeFillShade="D9"/>
          </w:tcPr>
          <w:p w14:paraId="3B1E5673" w14:textId="77777777" w:rsidR="00547B72" w:rsidRPr="000E342B" w:rsidRDefault="00547B72" w:rsidP="00630761">
            <w:pPr>
              <w:spacing w:before="0"/>
              <w:jc w:val="center"/>
            </w:pPr>
            <w:r w:rsidRPr="000E342B">
              <w:t>120 pu</w:t>
            </w:r>
          </w:p>
          <w:p w14:paraId="15E74622" w14:textId="77777777" w:rsidR="00547B72" w:rsidRPr="000E342B" w:rsidRDefault="00547B72" w:rsidP="00630761">
            <w:pPr>
              <w:spacing w:before="0"/>
              <w:jc w:val="center"/>
            </w:pPr>
            <w:r w:rsidRPr="000E342B">
              <w:rPr>
                <w:lang w:eastAsia="ja-JP"/>
              </w:rPr>
              <w:t>$26,640</w:t>
            </w:r>
          </w:p>
        </w:tc>
        <w:tc>
          <w:tcPr>
            <w:tcW w:w="424" w:type="pct"/>
          </w:tcPr>
          <w:p w14:paraId="647A3D59" w14:textId="77777777" w:rsidR="00547B72" w:rsidRPr="000E342B" w:rsidRDefault="00547B72" w:rsidP="00630761">
            <w:pPr>
              <w:spacing w:before="0"/>
              <w:jc w:val="center"/>
              <w:rPr>
                <w:lang w:eastAsia="ja-JP"/>
              </w:rPr>
            </w:pPr>
            <w:r w:rsidRPr="000E342B">
              <w:rPr>
                <w:lang w:eastAsia="ja-JP"/>
              </w:rPr>
              <w:t>300 pu</w:t>
            </w:r>
          </w:p>
          <w:p w14:paraId="4090659C"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7E96E92F" w14:textId="77777777" w:rsidR="00547B72" w:rsidRPr="000E342B" w:rsidRDefault="00547B72" w:rsidP="00630761">
            <w:pPr>
              <w:spacing w:before="0"/>
              <w:jc w:val="center"/>
              <w:rPr>
                <w:lang w:eastAsia="ja-JP"/>
              </w:rPr>
            </w:pPr>
            <w:r w:rsidRPr="000E342B">
              <w:rPr>
                <w:lang w:eastAsia="ja-JP"/>
              </w:rPr>
              <w:t>-</w:t>
            </w:r>
          </w:p>
        </w:tc>
        <w:tc>
          <w:tcPr>
            <w:tcW w:w="491" w:type="pct"/>
          </w:tcPr>
          <w:p w14:paraId="7E7CB644" w14:textId="77777777" w:rsidR="00547B72" w:rsidRPr="000E342B" w:rsidRDefault="00547B72" w:rsidP="00630761">
            <w:pPr>
              <w:spacing w:before="0"/>
              <w:jc w:val="center"/>
              <w:rPr>
                <w:lang w:eastAsia="ja-JP"/>
              </w:rPr>
            </w:pPr>
            <w:r w:rsidRPr="000E342B">
              <w:rPr>
                <w:lang w:eastAsia="ja-JP"/>
              </w:rPr>
              <w:t>-</w:t>
            </w:r>
          </w:p>
        </w:tc>
      </w:tr>
      <w:tr w:rsidR="00547B72" w:rsidRPr="000E342B" w14:paraId="5784FB3C" w14:textId="77777777" w:rsidTr="00630761">
        <w:trPr>
          <w:cantSplit/>
          <w:trHeight w:val="439"/>
        </w:trPr>
        <w:tc>
          <w:tcPr>
            <w:tcW w:w="354" w:type="pct"/>
            <w:shd w:val="clear" w:color="auto" w:fill="D9E2F3" w:themeFill="accent1" w:themeFillTint="33"/>
          </w:tcPr>
          <w:p w14:paraId="11DC56D2" w14:textId="77777777" w:rsidR="00547B72" w:rsidRPr="000E342B" w:rsidRDefault="00547B72" w:rsidP="00630761">
            <w:pPr>
              <w:spacing w:before="0"/>
              <w:rPr>
                <w:lang w:eastAsia="ja-JP"/>
              </w:rPr>
            </w:pPr>
            <w:r w:rsidRPr="000E342B">
              <w:rPr>
                <w:lang w:eastAsia="ja-JP"/>
              </w:rPr>
              <w:t>202</w:t>
            </w:r>
          </w:p>
        </w:tc>
        <w:tc>
          <w:tcPr>
            <w:tcW w:w="2444" w:type="pct"/>
          </w:tcPr>
          <w:p w14:paraId="4CFB7EF8" w14:textId="77777777" w:rsidR="00547B72" w:rsidRPr="000E342B" w:rsidRDefault="00547B72" w:rsidP="00630761">
            <w:pPr>
              <w:spacing w:before="0"/>
            </w:pPr>
            <w:r w:rsidRPr="000E342B">
              <w:t>Person must comply with direction given under s 202(1)</w:t>
            </w:r>
            <w:r>
              <w:t>(a)</w:t>
            </w:r>
            <w:r w:rsidRPr="000E342B">
              <w:t xml:space="preserve"> in relation to the movement of conveyance.</w:t>
            </w:r>
          </w:p>
        </w:tc>
        <w:tc>
          <w:tcPr>
            <w:tcW w:w="473" w:type="pct"/>
            <w:shd w:val="clear" w:color="auto" w:fill="D9E2F3" w:themeFill="accent1" w:themeFillTint="33"/>
          </w:tcPr>
          <w:p w14:paraId="6742D146" w14:textId="77777777" w:rsidR="00547B72" w:rsidRPr="000E342B" w:rsidRDefault="00547B72" w:rsidP="00630761">
            <w:pPr>
              <w:spacing w:before="0"/>
            </w:pPr>
            <w:r w:rsidRPr="000E342B">
              <w:t>202(2)</w:t>
            </w:r>
          </w:p>
        </w:tc>
        <w:tc>
          <w:tcPr>
            <w:tcW w:w="384" w:type="pct"/>
            <w:shd w:val="clear" w:color="auto" w:fill="D9D9D9" w:themeFill="background1" w:themeFillShade="D9"/>
          </w:tcPr>
          <w:p w14:paraId="09635AD3" w14:textId="77777777" w:rsidR="00547B72" w:rsidRPr="000E342B" w:rsidRDefault="00547B72" w:rsidP="00630761">
            <w:pPr>
              <w:spacing w:before="0"/>
              <w:jc w:val="center"/>
            </w:pPr>
            <w:r w:rsidRPr="000E342B">
              <w:t>120 pu</w:t>
            </w:r>
          </w:p>
          <w:p w14:paraId="43A015D0" w14:textId="77777777" w:rsidR="00547B72" w:rsidRPr="000E342B" w:rsidRDefault="00547B72" w:rsidP="00630761">
            <w:pPr>
              <w:spacing w:before="0"/>
              <w:jc w:val="center"/>
            </w:pPr>
            <w:r w:rsidRPr="000E342B">
              <w:rPr>
                <w:lang w:eastAsia="ja-JP"/>
              </w:rPr>
              <w:t>$26,640</w:t>
            </w:r>
          </w:p>
        </w:tc>
        <w:tc>
          <w:tcPr>
            <w:tcW w:w="424" w:type="pct"/>
          </w:tcPr>
          <w:p w14:paraId="6F719923" w14:textId="77777777" w:rsidR="00547B72" w:rsidRPr="000E342B" w:rsidRDefault="00547B72" w:rsidP="00630761">
            <w:pPr>
              <w:spacing w:before="0"/>
              <w:jc w:val="center"/>
              <w:rPr>
                <w:lang w:eastAsia="ja-JP"/>
              </w:rPr>
            </w:pPr>
            <w:r w:rsidRPr="000E342B">
              <w:rPr>
                <w:lang w:eastAsia="ja-JP"/>
              </w:rPr>
              <w:t>300 pu</w:t>
            </w:r>
          </w:p>
          <w:p w14:paraId="740CC5FA"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2914082D" w14:textId="77777777" w:rsidR="00547B72" w:rsidRPr="000E342B" w:rsidRDefault="00547B72" w:rsidP="00630761">
            <w:pPr>
              <w:spacing w:before="0"/>
              <w:jc w:val="center"/>
              <w:rPr>
                <w:lang w:eastAsia="ja-JP"/>
              </w:rPr>
            </w:pPr>
          </w:p>
        </w:tc>
        <w:tc>
          <w:tcPr>
            <w:tcW w:w="491" w:type="pct"/>
          </w:tcPr>
          <w:p w14:paraId="008A5FAC" w14:textId="77777777" w:rsidR="00547B72" w:rsidRPr="000E342B" w:rsidRDefault="00547B72" w:rsidP="00630761">
            <w:pPr>
              <w:spacing w:before="0"/>
              <w:jc w:val="center"/>
              <w:rPr>
                <w:lang w:eastAsia="ja-JP"/>
              </w:rPr>
            </w:pPr>
          </w:p>
        </w:tc>
      </w:tr>
      <w:tr w:rsidR="00547B72" w:rsidRPr="000E342B" w14:paraId="1447C589" w14:textId="77777777" w:rsidTr="00630761">
        <w:trPr>
          <w:cantSplit/>
          <w:trHeight w:val="66"/>
        </w:trPr>
        <w:tc>
          <w:tcPr>
            <w:tcW w:w="354" w:type="pct"/>
            <w:shd w:val="clear" w:color="auto" w:fill="D9E2F3" w:themeFill="accent1" w:themeFillTint="33"/>
          </w:tcPr>
          <w:p w14:paraId="23A71E04" w14:textId="77777777" w:rsidR="00547B72" w:rsidRPr="000E342B" w:rsidRDefault="00547B72" w:rsidP="00630761">
            <w:pPr>
              <w:spacing w:before="0"/>
              <w:rPr>
                <w:lang w:eastAsia="ja-JP"/>
              </w:rPr>
            </w:pPr>
            <w:r w:rsidRPr="000E342B">
              <w:rPr>
                <w:lang w:eastAsia="ja-JP"/>
              </w:rPr>
              <w:t>203</w:t>
            </w:r>
          </w:p>
        </w:tc>
        <w:tc>
          <w:tcPr>
            <w:tcW w:w="2444" w:type="pct"/>
          </w:tcPr>
          <w:p w14:paraId="5D375000" w14:textId="77777777" w:rsidR="00547B72" w:rsidRPr="000E342B" w:rsidRDefault="00547B72" w:rsidP="00630761">
            <w:pPr>
              <w:spacing w:before="0"/>
            </w:pPr>
            <w:r w:rsidRPr="000E342B">
              <w:t xml:space="preserve">Person must not interfere or remove or deface </w:t>
            </w:r>
            <w:r>
              <w:t xml:space="preserve">a </w:t>
            </w:r>
            <w:r w:rsidRPr="000E342B">
              <w:t>biosecurity control notice</w:t>
            </w:r>
            <w:r>
              <w:t xml:space="preserve"> affixed to a conveyance under s 203(1)(a)</w:t>
            </w:r>
            <w:r w:rsidRPr="000E342B">
              <w:t xml:space="preserve"> unless the exceptions in s 203(2)(</w:t>
            </w:r>
            <w:r>
              <w:t>c</w:t>
            </w:r>
            <w:r w:rsidRPr="000E342B">
              <w:t>)</w:t>
            </w:r>
            <w:r>
              <w:t xml:space="preserve"> apply.</w:t>
            </w:r>
          </w:p>
        </w:tc>
        <w:tc>
          <w:tcPr>
            <w:tcW w:w="473" w:type="pct"/>
            <w:shd w:val="clear" w:color="auto" w:fill="D9E2F3" w:themeFill="accent1" w:themeFillTint="33"/>
          </w:tcPr>
          <w:p w14:paraId="2E04F3F5" w14:textId="77777777" w:rsidR="00547B72" w:rsidRPr="000E342B" w:rsidRDefault="00547B72" w:rsidP="00630761">
            <w:pPr>
              <w:spacing w:before="0"/>
            </w:pPr>
            <w:r w:rsidRPr="000E342B">
              <w:t>203(2)</w:t>
            </w:r>
          </w:p>
        </w:tc>
        <w:tc>
          <w:tcPr>
            <w:tcW w:w="384" w:type="pct"/>
            <w:shd w:val="clear" w:color="auto" w:fill="D9D9D9" w:themeFill="background1" w:themeFillShade="D9"/>
          </w:tcPr>
          <w:p w14:paraId="0F0FBD52" w14:textId="77777777" w:rsidR="00547B72" w:rsidRPr="000E342B" w:rsidRDefault="00547B72" w:rsidP="00630761">
            <w:pPr>
              <w:spacing w:before="0"/>
              <w:jc w:val="center"/>
            </w:pPr>
            <w:r w:rsidRPr="000E342B">
              <w:t>120 pu</w:t>
            </w:r>
          </w:p>
          <w:p w14:paraId="69DEB8EB" w14:textId="77777777" w:rsidR="00547B72" w:rsidRPr="000E342B" w:rsidRDefault="00547B72" w:rsidP="00630761">
            <w:pPr>
              <w:spacing w:before="0"/>
              <w:jc w:val="center"/>
            </w:pPr>
            <w:r w:rsidRPr="000E342B">
              <w:rPr>
                <w:lang w:eastAsia="ja-JP"/>
              </w:rPr>
              <w:t>$26,640</w:t>
            </w:r>
          </w:p>
        </w:tc>
        <w:tc>
          <w:tcPr>
            <w:tcW w:w="424" w:type="pct"/>
          </w:tcPr>
          <w:p w14:paraId="2069102D" w14:textId="77777777" w:rsidR="00547B72" w:rsidRPr="000E342B" w:rsidRDefault="00547B72" w:rsidP="00630761">
            <w:pPr>
              <w:spacing w:before="0"/>
              <w:jc w:val="center"/>
              <w:rPr>
                <w:lang w:eastAsia="ja-JP"/>
              </w:rPr>
            </w:pPr>
            <w:r w:rsidRPr="000E342B">
              <w:rPr>
                <w:lang w:eastAsia="ja-JP"/>
              </w:rPr>
              <w:t>300 pu</w:t>
            </w:r>
          </w:p>
          <w:p w14:paraId="799E4B09"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48B19D6B" w14:textId="77777777" w:rsidR="00547B72" w:rsidRPr="000E342B" w:rsidRDefault="00547B72" w:rsidP="00630761">
            <w:pPr>
              <w:spacing w:before="0"/>
              <w:jc w:val="center"/>
              <w:rPr>
                <w:lang w:eastAsia="ja-JP"/>
              </w:rPr>
            </w:pPr>
            <w:r w:rsidRPr="000E342B">
              <w:rPr>
                <w:lang w:eastAsia="ja-JP"/>
              </w:rPr>
              <w:t>-</w:t>
            </w:r>
          </w:p>
        </w:tc>
        <w:tc>
          <w:tcPr>
            <w:tcW w:w="491" w:type="pct"/>
          </w:tcPr>
          <w:p w14:paraId="60F0E32B" w14:textId="77777777" w:rsidR="00547B72" w:rsidRPr="000E342B" w:rsidRDefault="00547B72" w:rsidP="00630761">
            <w:pPr>
              <w:spacing w:before="0"/>
              <w:jc w:val="center"/>
              <w:rPr>
                <w:lang w:eastAsia="ja-JP"/>
              </w:rPr>
            </w:pPr>
            <w:r w:rsidRPr="000E342B">
              <w:rPr>
                <w:lang w:eastAsia="ja-JP"/>
              </w:rPr>
              <w:t>-</w:t>
            </w:r>
          </w:p>
        </w:tc>
      </w:tr>
      <w:tr w:rsidR="00547B72" w:rsidRPr="000E342B" w14:paraId="62F1507C" w14:textId="77777777" w:rsidTr="00630761">
        <w:trPr>
          <w:cantSplit/>
          <w:trHeight w:val="66"/>
        </w:trPr>
        <w:tc>
          <w:tcPr>
            <w:tcW w:w="354" w:type="pct"/>
            <w:shd w:val="clear" w:color="auto" w:fill="D9E2F3" w:themeFill="accent1" w:themeFillTint="33"/>
          </w:tcPr>
          <w:p w14:paraId="2071D53D" w14:textId="77777777" w:rsidR="00547B72" w:rsidRPr="000E342B" w:rsidRDefault="00547B72" w:rsidP="00630761">
            <w:pPr>
              <w:spacing w:before="0"/>
              <w:rPr>
                <w:lang w:eastAsia="ja-JP"/>
              </w:rPr>
            </w:pPr>
            <w:r w:rsidRPr="000E342B">
              <w:rPr>
                <w:lang w:eastAsia="ja-JP"/>
              </w:rPr>
              <w:t>204</w:t>
            </w:r>
          </w:p>
        </w:tc>
        <w:tc>
          <w:tcPr>
            <w:tcW w:w="2444" w:type="pct"/>
          </w:tcPr>
          <w:p w14:paraId="4A0E4F0A" w14:textId="77777777" w:rsidR="00547B72" w:rsidRPr="000E342B" w:rsidRDefault="00547B72" w:rsidP="00630761">
            <w:pPr>
              <w:spacing w:before="0"/>
            </w:pPr>
            <w:r w:rsidRPr="000E342B">
              <w:t>Unauthorised person must not move, deal with or interfere with a conveyance in relation to which direction has been given unless the exceptions in s 204(2)(</w:t>
            </w:r>
            <w:r>
              <w:t>b</w:t>
            </w:r>
            <w:r w:rsidRPr="000E342B">
              <w:t>)</w:t>
            </w:r>
            <w:r>
              <w:t xml:space="preserve"> apply</w:t>
            </w:r>
            <w:r w:rsidRPr="000E342B">
              <w:t>.</w:t>
            </w:r>
          </w:p>
        </w:tc>
        <w:tc>
          <w:tcPr>
            <w:tcW w:w="473" w:type="pct"/>
            <w:shd w:val="clear" w:color="auto" w:fill="D9E2F3" w:themeFill="accent1" w:themeFillTint="33"/>
          </w:tcPr>
          <w:p w14:paraId="21FB1038" w14:textId="77777777" w:rsidR="00547B72" w:rsidRPr="000E342B" w:rsidRDefault="00547B72" w:rsidP="00630761">
            <w:pPr>
              <w:spacing w:before="0"/>
            </w:pPr>
            <w:r w:rsidRPr="000E342B">
              <w:t>204(2)</w:t>
            </w:r>
          </w:p>
        </w:tc>
        <w:tc>
          <w:tcPr>
            <w:tcW w:w="384" w:type="pct"/>
            <w:shd w:val="clear" w:color="auto" w:fill="D9D9D9" w:themeFill="background1" w:themeFillShade="D9"/>
          </w:tcPr>
          <w:p w14:paraId="37AA092A" w14:textId="77777777" w:rsidR="00547B72" w:rsidRPr="000E342B" w:rsidRDefault="00547B72" w:rsidP="00630761">
            <w:pPr>
              <w:spacing w:before="0"/>
              <w:jc w:val="center"/>
            </w:pPr>
            <w:r w:rsidRPr="000E342B">
              <w:t>120 pu</w:t>
            </w:r>
          </w:p>
          <w:p w14:paraId="112E5B6A" w14:textId="77777777" w:rsidR="00547B72" w:rsidRPr="000E342B" w:rsidRDefault="00547B72" w:rsidP="00630761">
            <w:pPr>
              <w:spacing w:before="0"/>
              <w:jc w:val="center"/>
            </w:pPr>
            <w:r w:rsidRPr="000E342B">
              <w:rPr>
                <w:lang w:eastAsia="ja-JP"/>
              </w:rPr>
              <w:t>$26,640</w:t>
            </w:r>
          </w:p>
        </w:tc>
        <w:tc>
          <w:tcPr>
            <w:tcW w:w="424" w:type="pct"/>
          </w:tcPr>
          <w:p w14:paraId="3A75AC1A" w14:textId="77777777" w:rsidR="00547B72" w:rsidRPr="000E342B" w:rsidRDefault="00547B72" w:rsidP="00630761">
            <w:pPr>
              <w:spacing w:before="0"/>
              <w:jc w:val="center"/>
              <w:rPr>
                <w:lang w:eastAsia="ja-JP"/>
              </w:rPr>
            </w:pPr>
            <w:r w:rsidRPr="000E342B">
              <w:rPr>
                <w:lang w:eastAsia="ja-JP"/>
              </w:rPr>
              <w:t>300 pu</w:t>
            </w:r>
          </w:p>
          <w:p w14:paraId="4F583CEF"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07266E5A" w14:textId="77777777" w:rsidR="00547B72" w:rsidRPr="000E342B" w:rsidRDefault="00547B72" w:rsidP="00630761">
            <w:pPr>
              <w:spacing w:before="0"/>
              <w:jc w:val="center"/>
              <w:rPr>
                <w:lang w:eastAsia="ja-JP"/>
              </w:rPr>
            </w:pPr>
            <w:r w:rsidRPr="000E342B">
              <w:rPr>
                <w:lang w:eastAsia="ja-JP"/>
              </w:rPr>
              <w:t>-</w:t>
            </w:r>
          </w:p>
        </w:tc>
        <w:tc>
          <w:tcPr>
            <w:tcW w:w="491" w:type="pct"/>
          </w:tcPr>
          <w:p w14:paraId="686417C8" w14:textId="77777777" w:rsidR="00547B72" w:rsidRPr="000E342B" w:rsidRDefault="00547B72" w:rsidP="00630761">
            <w:pPr>
              <w:spacing w:before="0"/>
              <w:jc w:val="center"/>
              <w:rPr>
                <w:lang w:eastAsia="ja-JP"/>
              </w:rPr>
            </w:pPr>
            <w:r w:rsidRPr="000E342B">
              <w:rPr>
                <w:lang w:eastAsia="ja-JP"/>
              </w:rPr>
              <w:t>-</w:t>
            </w:r>
          </w:p>
        </w:tc>
      </w:tr>
      <w:tr w:rsidR="00547B72" w:rsidRPr="000E342B" w14:paraId="5F516DB3" w14:textId="77777777" w:rsidTr="00630761">
        <w:trPr>
          <w:cantSplit/>
          <w:trHeight w:val="712"/>
        </w:trPr>
        <w:tc>
          <w:tcPr>
            <w:tcW w:w="5000" w:type="pct"/>
            <w:gridSpan w:val="7"/>
            <w:shd w:val="clear" w:color="auto" w:fill="D9E2F3" w:themeFill="accent1" w:themeFillTint="33"/>
          </w:tcPr>
          <w:p w14:paraId="5EA99669" w14:textId="77777777" w:rsidR="00547B72" w:rsidRPr="000E342B" w:rsidRDefault="00547B72" w:rsidP="00630761">
            <w:pPr>
              <w:spacing w:before="0"/>
              <w:rPr>
                <w:rFonts w:cstheme="minorHAnsi"/>
                <w:b/>
                <w:bCs/>
                <w:lang w:eastAsia="ja-JP"/>
              </w:rPr>
            </w:pPr>
            <w:r w:rsidRPr="000E342B">
              <w:rPr>
                <w:rFonts w:cstheme="minorHAnsi"/>
                <w:b/>
                <w:bCs/>
                <w:lang w:eastAsia="ja-JP"/>
              </w:rPr>
              <w:t>Chapter 4 – Managing biosecurity risks: conveyances</w:t>
            </w:r>
          </w:p>
          <w:p w14:paraId="2AFC3388" w14:textId="77777777" w:rsidR="00547B72" w:rsidRPr="000E342B" w:rsidRDefault="00547B72" w:rsidP="00630761">
            <w:pPr>
              <w:spacing w:before="0"/>
              <w:rPr>
                <w:rFonts w:cstheme="minorHAnsi"/>
                <w:b/>
                <w:bCs/>
                <w:lang w:eastAsia="ja-JP"/>
              </w:rPr>
            </w:pPr>
            <w:r w:rsidRPr="000E342B">
              <w:rPr>
                <w:rFonts w:cstheme="minorHAnsi"/>
                <w:b/>
                <w:bCs/>
                <w:lang w:eastAsia="ja-JP"/>
              </w:rPr>
              <w:t>Part 2 – Conveyances entering Australian territory etc.</w:t>
            </w:r>
          </w:p>
          <w:p w14:paraId="2851A5C6" w14:textId="77777777" w:rsidR="00547B72" w:rsidRPr="000E342B" w:rsidRDefault="00547B72" w:rsidP="00630761">
            <w:pPr>
              <w:spacing w:before="0"/>
              <w:rPr>
                <w:lang w:eastAsia="ja-JP"/>
              </w:rPr>
            </w:pPr>
            <w:r w:rsidRPr="000E342B">
              <w:rPr>
                <w:rFonts w:cstheme="minorHAnsi"/>
                <w:b/>
                <w:bCs/>
                <w:lang w:eastAsia="ja-JP"/>
              </w:rPr>
              <w:t>Division 5 – Biosecurity measures to manage unacceptable level of biosecurity risk</w:t>
            </w:r>
          </w:p>
        </w:tc>
      </w:tr>
      <w:tr w:rsidR="00547B72" w:rsidRPr="000E342B" w14:paraId="197CEEE6" w14:textId="77777777" w:rsidTr="00630761">
        <w:trPr>
          <w:cantSplit/>
          <w:trHeight w:val="485"/>
        </w:trPr>
        <w:tc>
          <w:tcPr>
            <w:tcW w:w="354" w:type="pct"/>
            <w:shd w:val="clear" w:color="auto" w:fill="D9E2F3" w:themeFill="accent1" w:themeFillTint="33"/>
          </w:tcPr>
          <w:p w14:paraId="51EA64E3" w14:textId="77777777" w:rsidR="00547B72" w:rsidRPr="000E342B" w:rsidRDefault="00547B72" w:rsidP="00630761">
            <w:pPr>
              <w:spacing w:before="0"/>
              <w:rPr>
                <w:lang w:eastAsia="ja-JP"/>
              </w:rPr>
            </w:pPr>
            <w:r w:rsidRPr="000E342B">
              <w:rPr>
                <w:lang w:eastAsia="ja-JP"/>
              </w:rPr>
              <w:t>214</w:t>
            </w:r>
          </w:p>
        </w:tc>
        <w:tc>
          <w:tcPr>
            <w:tcW w:w="2444" w:type="pct"/>
          </w:tcPr>
          <w:p w14:paraId="282D31C8" w14:textId="77777777" w:rsidR="00547B72" w:rsidRPr="000E342B" w:rsidRDefault="00547B72" w:rsidP="00630761">
            <w:pPr>
              <w:spacing w:before="0"/>
            </w:pPr>
            <w:r w:rsidRPr="000E342B">
              <w:t>Person must not interfere with, remove or deface the notice affixed to a conveyance under s 214(1)</w:t>
            </w:r>
            <w:r>
              <w:t xml:space="preserve"> unless the exceptions in s 214(3)(c) apply</w:t>
            </w:r>
            <w:r w:rsidRPr="000E342B">
              <w:t>.</w:t>
            </w:r>
          </w:p>
        </w:tc>
        <w:tc>
          <w:tcPr>
            <w:tcW w:w="473" w:type="pct"/>
            <w:shd w:val="clear" w:color="auto" w:fill="D9E2F3" w:themeFill="accent1" w:themeFillTint="33"/>
          </w:tcPr>
          <w:p w14:paraId="68DB8CE9" w14:textId="77777777" w:rsidR="00547B72" w:rsidRPr="000E342B" w:rsidRDefault="00547B72" w:rsidP="00630761">
            <w:pPr>
              <w:spacing w:before="0"/>
            </w:pPr>
            <w:r w:rsidRPr="000E342B">
              <w:t>214(3)</w:t>
            </w:r>
          </w:p>
        </w:tc>
        <w:tc>
          <w:tcPr>
            <w:tcW w:w="384" w:type="pct"/>
            <w:shd w:val="clear" w:color="auto" w:fill="D9D9D9" w:themeFill="background1" w:themeFillShade="D9"/>
          </w:tcPr>
          <w:p w14:paraId="49B9BCE2" w14:textId="77777777" w:rsidR="00547B72" w:rsidRPr="000E342B" w:rsidRDefault="00547B72" w:rsidP="00630761">
            <w:pPr>
              <w:spacing w:before="0"/>
              <w:jc w:val="center"/>
            </w:pPr>
            <w:r w:rsidRPr="000E342B">
              <w:t>120 pu</w:t>
            </w:r>
          </w:p>
          <w:p w14:paraId="758FF5B4" w14:textId="77777777" w:rsidR="00547B72" w:rsidRPr="000E342B" w:rsidRDefault="00547B72" w:rsidP="00630761">
            <w:pPr>
              <w:spacing w:before="0"/>
              <w:jc w:val="center"/>
            </w:pPr>
            <w:r w:rsidRPr="000E342B">
              <w:rPr>
                <w:lang w:eastAsia="ja-JP"/>
              </w:rPr>
              <w:t>$26,640</w:t>
            </w:r>
          </w:p>
        </w:tc>
        <w:tc>
          <w:tcPr>
            <w:tcW w:w="424" w:type="pct"/>
          </w:tcPr>
          <w:p w14:paraId="2ED1DECC" w14:textId="77777777" w:rsidR="00547B72" w:rsidRPr="000E342B" w:rsidRDefault="00547B72" w:rsidP="00630761">
            <w:pPr>
              <w:spacing w:before="0"/>
              <w:jc w:val="center"/>
              <w:rPr>
                <w:lang w:eastAsia="ja-JP"/>
              </w:rPr>
            </w:pPr>
            <w:r w:rsidRPr="000E342B">
              <w:rPr>
                <w:lang w:eastAsia="ja-JP"/>
              </w:rPr>
              <w:t>300 pu</w:t>
            </w:r>
          </w:p>
          <w:p w14:paraId="445CFADF"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3E1110C8" w14:textId="77777777" w:rsidR="00547B72" w:rsidRPr="000E342B" w:rsidRDefault="00547B72" w:rsidP="00630761">
            <w:pPr>
              <w:spacing w:before="0"/>
              <w:jc w:val="center"/>
              <w:rPr>
                <w:lang w:eastAsia="ja-JP"/>
              </w:rPr>
            </w:pPr>
            <w:r w:rsidRPr="000E342B">
              <w:rPr>
                <w:lang w:eastAsia="ja-JP"/>
              </w:rPr>
              <w:t>-</w:t>
            </w:r>
          </w:p>
        </w:tc>
        <w:tc>
          <w:tcPr>
            <w:tcW w:w="491" w:type="pct"/>
          </w:tcPr>
          <w:p w14:paraId="2FBDA558" w14:textId="77777777" w:rsidR="00547B72" w:rsidRPr="000E342B" w:rsidRDefault="00547B72" w:rsidP="00630761">
            <w:pPr>
              <w:spacing w:before="0"/>
              <w:jc w:val="center"/>
              <w:rPr>
                <w:lang w:eastAsia="ja-JP"/>
              </w:rPr>
            </w:pPr>
            <w:r w:rsidRPr="000E342B">
              <w:rPr>
                <w:lang w:eastAsia="ja-JP"/>
              </w:rPr>
              <w:t>-</w:t>
            </w:r>
          </w:p>
        </w:tc>
      </w:tr>
      <w:tr w:rsidR="00547B72" w:rsidRPr="000E342B" w14:paraId="7DFC5EC2" w14:textId="77777777" w:rsidTr="00630761">
        <w:trPr>
          <w:cantSplit/>
          <w:trHeight w:val="269"/>
        </w:trPr>
        <w:tc>
          <w:tcPr>
            <w:tcW w:w="354" w:type="pct"/>
            <w:vMerge w:val="restart"/>
            <w:shd w:val="clear" w:color="auto" w:fill="D9E2F3" w:themeFill="accent1" w:themeFillTint="33"/>
          </w:tcPr>
          <w:p w14:paraId="68E59D6F" w14:textId="77777777" w:rsidR="00547B72" w:rsidRPr="000E342B" w:rsidRDefault="00547B72" w:rsidP="00630761">
            <w:pPr>
              <w:spacing w:before="0"/>
              <w:rPr>
                <w:lang w:eastAsia="ja-JP"/>
              </w:rPr>
            </w:pPr>
            <w:r w:rsidRPr="000E342B">
              <w:rPr>
                <w:lang w:eastAsia="ja-JP"/>
              </w:rPr>
              <w:t>215</w:t>
            </w:r>
          </w:p>
        </w:tc>
        <w:tc>
          <w:tcPr>
            <w:tcW w:w="2444" w:type="pct"/>
            <w:vMerge w:val="restart"/>
          </w:tcPr>
          <w:p w14:paraId="4BD587C9" w14:textId="77777777" w:rsidR="00547B72" w:rsidRPr="000E342B" w:rsidRDefault="00547B72" w:rsidP="00630761">
            <w:pPr>
              <w:spacing w:before="0"/>
            </w:pPr>
            <w:r w:rsidRPr="000E342B">
              <w:t>Person who is given a direction in relation to a conveyance</w:t>
            </w:r>
            <w:r>
              <w:t xml:space="preserve"> under ss 206(2)(a), 207(2)(a) or 213(1)(a) to (c)</w:t>
            </w:r>
            <w:r w:rsidRPr="000E342B">
              <w:t xml:space="preserve"> must comply with the direction.</w:t>
            </w:r>
          </w:p>
        </w:tc>
        <w:tc>
          <w:tcPr>
            <w:tcW w:w="473" w:type="pct"/>
            <w:shd w:val="clear" w:color="auto" w:fill="D9E2F3" w:themeFill="accent1" w:themeFillTint="33"/>
          </w:tcPr>
          <w:p w14:paraId="59C70967" w14:textId="77777777" w:rsidR="00547B72" w:rsidRPr="000E342B" w:rsidRDefault="00547B72" w:rsidP="00630761">
            <w:pPr>
              <w:spacing w:before="0"/>
            </w:pPr>
            <w:r w:rsidRPr="000E342B">
              <w:t>215(2)</w:t>
            </w:r>
          </w:p>
        </w:tc>
        <w:tc>
          <w:tcPr>
            <w:tcW w:w="384" w:type="pct"/>
            <w:shd w:val="clear" w:color="auto" w:fill="D9D9D9" w:themeFill="background1" w:themeFillShade="D9"/>
          </w:tcPr>
          <w:p w14:paraId="43C09706" w14:textId="77777777" w:rsidR="00547B72" w:rsidRPr="000E342B" w:rsidRDefault="00547B72" w:rsidP="00630761">
            <w:pPr>
              <w:spacing w:before="0"/>
              <w:jc w:val="center"/>
            </w:pPr>
            <w:r w:rsidRPr="000E342B">
              <w:t>-</w:t>
            </w:r>
          </w:p>
        </w:tc>
        <w:tc>
          <w:tcPr>
            <w:tcW w:w="424" w:type="pct"/>
          </w:tcPr>
          <w:p w14:paraId="4E6E9C84"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04775DE8" w14:textId="77777777" w:rsidR="00547B72" w:rsidRPr="000E342B" w:rsidRDefault="00547B72" w:rsidP="00630761">
            <w:pPr>
              <w:spacing w:before="0"/>
              <w:jc w:val="center"/>
              <w:rPr>
                <w:lang w:eastAsia="ja-JP"/>
              </w:rPr>
            </w:pPr>
            <w:r w:rsidRPr="000E342B">
              <w:rPr>
                <w:lang w:eastAsia="ja-JP"/>
              </w:rPr>
              <w:t>300 pu</w:t>
            </w:r>
          </w:p>
          <w:p w14:paraId="725A3A9C" w14:textId="77777777" w:rsidR="00547B72" w:rsidRPr="000E342B" w:rsidRDefault="00547B72" w:rsidP="00630761">
            <w:pPr>
              <w:spacing w:before="0"/>
              <w:jc w:val="center"/>
              <w:rPr>
                <w:lang w:eastAsia="ja-JP"/>
              </w:rPr>
            </w:pPr>
            <w:r w:rsidRPr="000E342B">
              <w:rPr>
                <w:lang w:eastAsia="ja-JP"/>
              </w:rPr>
              <w:t>$66,600</w:t>
            </w:r>
          </w:p>
        </w:tc>
        <w:tc>
          <w:tcPr>
            <w:tcW w:w="491" w:type="pct"/>
          </w:tcPr>
          <w:p w14:paraId="0A876EC2"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08B0B42A"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6842D0B1" w14:textId="77777777" w:rsidTr="00630761">
        <w:trPr>
          <w:cantSplit/>
          <w:trHeight w:val="305"/>
        </w:trPr>
        <w:tc>
          <w:tcPr>
            <w:tcW w:w="354" w:type="pct"/>
            <w:vMerge/>
            <w:shd w:val="clear" w:color="auto" w:fill="D9E2F3" w:themeFill="accent1" w:themeFillTint="33"/>
          </w:tcPr>
          <w:p w14:paraId="55CC3ED2" w14:textId="77777777" w:rsidR="00547B72" w:rsidRPr="000E342B" w:rsidRDefault="00547B72" w:rsidP="00630761">
            <w:pPr>
              <w:spacing w:before="0"/>
              <w:rPr>
                <w:lang w:eastAsia="ja-JP"/>
              </w:rPr>
            </w:pPr>
          </w:p>
        </w:tc>
        <w:tc>
          <w:tcPr>
            <w:tcW w:w="2444" w:type="pct"/>
            <w:vMerge/>
          </w:tcPr>
          <w:p w14:paraId="1792F25B" w14:textId="77777777" w:rsidR="00547B72" w:rsidRPr="000E342B" w:rsidRDefault="00547B72" w:rsidP="00630761">
            <w:pPr>
              <w:spacing w:before="0"/>
            </w:pPr>
          </w:p>
        </w:tc>
        <w:tc>
          <w:tcPr>
            <w:tcW w:w="473" w:type="pct"/>
            <w:shd w:val="clear" w:color="auto" w:fill="D9E2F3" w:themeFill="accent1" w:themeFillTint="33"/>
          </w:tcPr>
          <w:p w14:paraId="7B684E65" w14:textId="77777777" w:rsidR="00547B72" w:rsidRPr="000E342B" w:rsidRDefault="00547B72" w:rsidP="00630761">
            <w:pPr>
              <w:spacing w:before="0"/>
            </w:pPr>
            <w:r w:rsidRPr="000E342B">
              <w:t>215(3)</w:t>
            </w:r>
          </w:p>
        </w:tc>
        <w:tc>
          <w:tcPr>
            <w:tcW w:w="384" w:type="pct"/>
            <w:shd w:val="clear" w:color="auto" w:fill="D9D9D9" w:themeFill="background1" w:themeFillShade="D9"/>
          </w:tcPr>
          <w:p w14:paraId="6B946184" w14:textId="77777777" w:rsidR="00547B72" w:rsidRPr="000E342B" w:rsidRDefault="00547B72" w:rsidP="00630761">
            <w:pPr>
              <w:spacing w:before="0"/>
              <w:jc w:val="center"/>
            </w:pPr>
            <w:r w:rsidRPr="000E342B">
              <w:t>-</w:t>
            </w:r>
          </w:p>
        </w:tc>
        <w:tc>
          <w:tcPr>
            <w:tcW w:w="424" w:type="pct"/>
          </w:tcPr>
          <w:p w14:paraId="366DE34A"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30B55BBC" w14:textId="77777777" w:rsidR="00547B72" w:rsidRPr="000E342B" w:rsidRDefault="00547B72" w:rsidP="00630761">
            <w:pPr>
              <w:spacing w:before="0"/>
              <w:jc w:val="center"/>
              <w:rPr>
                <w:lang w:eastAsia="ja-JP"/>
              </w:rPr>
            </w:pPr>
            <w:r w:rsidRPr="000E342B">
              <w:rPr>
                <w:lang w:eastAsia="ja-JP"/>
              </w:rPr>
              <w:t>300 pu</w:t>
            </w:r>
          </w:p>
          <w:p w14:paraId="388D0A92" w14:textId="77777777" w:rsidR="00547B72" w:rsidRPr="000E342B" w:rsidRDefault="00547B72" w:rsidP="00630761">
            <w:pPr>
              <w:spacing w:before="0"/>
              <w:jc w:val="center"/>
              <w:rPr>
                <w:lang w:eastAsia="ja-JP"/>
              </w:rPr>
            </w:pPr>
            <w:r w:rsidRPr="000E342B">
              <w:rPr>
                <w:lang w:eastAsia="ja-JP"/>
              </w:rPr>
              <w:t>$66,600</w:t>
            </w:r>
          </w:p>
        </w:tc>
        <w:tc>
          <w:tcPr>
            <w:tcW w:w="491" w:type="pct"/>
          </w:tcPr>
          <w:p w14:paraId="15DB63A0"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1C89A9C6"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131C7660" w14:textId="77777777" w:rsidTr="00630761">
        <w:trPr>
          <w:cantSplit/>
          <w:trHeight w:val="58"/>
        </w:trPr>
        <w:tc>
          <w:tcPr>
            <w:tcW w:w="354" w:type="pct"/>
            <w:vMerge/>
            <w:shd w:val="clear" w:color="auto" w:fill="D9E2F3" w:themeFill="accent1" w:themeFillTint="33"/>
          </w:tcPr>
          <w:p w14:paraId="664D063E" w14:textId="77777777" w:rsidR="00547B72" w:rsidRPr="000E342B" w:rsidRDefault="00547B72" w:rsidP="00630761">
            <w:pPr>
              <w:spacing w:before="0"/>
              <w:rPr>
                <w:lang w:eastAsia="ja-JP"/>
              </w:rPr>
            </w:pPr>
          </w:p>
        </w:tc>
        <w:tc>
          <w:tcPr>
            <w:tcW w:w="2444" w:type="pct"/>
            <w:vMerge/>
          </w:tcPr>
          <w:p w14:paraId="33F5609A" w14:textId="77777777" w:rsidR="00547B72" w:rsidRPr="000E342B" w:rsidRDefault="00547B72" w:rsidP="00630761">
            <w:pPr>
              <w:spacing w:before="0"/>
            </w:pPr>
          </w:p>
        </w:tc>
        <w:tc>
          <w:tcPr>
            <w:tcW w:w="473" w:type="pct"/>
            <w:shd w:val="clear" w:color="auto" w:fill="D9E2F3" w:themeFill="accent1" w:themeFillTint="33"/>
          </w:tcPr>
          <w:p w14:paraId="6787B2E2" w14:textId="77777777" w:rsidR="00547B72" w:rsidRPr="000E342B" w:rsidRDefault="00547B72" w:rsidP="00630761">
            <w:pPr>
              <w:spacing w:before="0"/>
            </w:pPr>
            <w:r w:rsidRPr="000E342B">
              <w:t>215(4)</w:t>
            </w:r>
          </w:p>
        </w:tc>
        <w:tc>
          <w:tcPr>
            <w:tcW w:w="384" w:type="pct"/>
            <w:shd w:val="clear" w:color="auto" w:fill="D9D9D9" w:themeFill="background1" w:themeFillShade="D9"/>
          </w:tcPr>
          <w:p w14:paraId="5BE6781E" w14:textId="77777777" w:rsidR="00547B72" w:rsidRPr="000E342B" w:rsidRDefault="00547B72" w:rsidP="00630761">
            <w:pPr>
              <w:spacing w:before="0"/>
              <w:jc w:val="center"/>
            </w:pPr>
            <w:r w:rsidRPr="000E342B">
              <w:t>-</w:t>
            </w:r>
          </w:p>
        </w:tc>
        <w:tc>
          <w:tcPr>
            <w:tcW w:w="424" w:type="pct"/>
          </w:tcPr>
          <w:p w14:paraId="339B05F1"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5D3FCFBB" w14:textId="77777777" w:rsidR="00547B72" w:rsidRPr="000E342B" w:rsidRDefault="00547B72" w:rsidP="00630761">
            <w:pPr>
              <w:spacing w:before="0"/>
              <w:jc w:val="center"/>
              <w:rPr>
                <w:lang w:eastAsia="ja-JP"/>
              </w:rPr>
            </w:pPr>
            <w:r w:rsidRPr="000E342B">
              <w:rPr>
                <w:lang w:eastAsia="ja-JP"/>
              </w:rPr>
              <w:t>300 pu</w:t>
            </w:r>
          </w:p>
          <w:p w14:paraId="74112953" w14:textId="77777777" w:rsidR="00547B72" w:rsidRPr="000E342B" w:rsidRDefault="00547B72" w:rsidP="00630761">
            <w:pPr>
              <w:spacing w:before="0"/>
              <w:jc w:val="center"/>
              <w:rPr>
                <w:lang w:eastAsia="ja-JP"/>
              </w:rPr>
            </w:pPr>
            <w:r w:rsidRPr="000E342B">
              <w:rPr>
                <w:lang w:eastAsia="ja-JP"/>
              </w:rPr>
              <w:t>$66,600</w:t>
            </w:r>
          </w:p>
        </w:tc>
        <w:tc>
          <w:tcPr>
            <w:tcW w:w="491" w:type="pct"/>
          </w:tcPr>
          <w:p w14:paraId="516B40AC"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1A9CF980"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0B935CD8" w14:textId="77777777" w:rsidTr="00630761">
        <w:trPr>
          <w:cantSplit/>
          <w:trHeight w:val="405"/>
        </w:trPr>
        <w:tc>
          <w:tcPr>
            <w:tcW w:w="354" w:type="pct"/>
            <w:vMerge/>
            <w:shd w:val="clear" w:color="auto" w:fill="D9E2F3" w:themeFill="accent1" w:themeFillTint="33"/>
          </w:tcPr>
          <w:p w14:paraId="45F5F04E" w14:textId="77777777" w:rsidR="00547B72" w:rsidRPr="000E342B" w:rsidRDefault="00547B72" w:rsidP="00630761">
            <w:pPr>
              <w:spacing w:before="0"/>
              <w:rPr>
                <w:lang w:eastAsia="ja-JP"/>
              </w:rPr>
            </w:pPr>
          </w:p>
        </w:tc>
        <w:tc>
          <w:tcPr>
            <w:tcW w:w="2444" w:type="pct"/>
            <w:vMerge/>
          </w:tcPr>
          <w:p w14:paraId="0710B95B" w14:textId="77777777" w:rsidR="00547B72" w:rsidRPr="000E342B" w:rsidRDefault="00547B72" w:rsidP="00630761">
            <w:pPr>
              <w:spacing w:before="0"/>
            </w:pPr>
          </w:p>
        </w:tc>
        <w:tc>
          <w:tcPr>
            <w:tcW w:w="473" w:type="pct"/>
            <w:shd w:val="clear" w:color="auto" w:fill="D9E2F3" w:themeFill="accent1" w:themeFillTint="33"/>
          </w:tcPr>
          <w:p w14:paraId="27A38372" w14:textId="77777777" w:rsidR="00547B72" w:rsidRPr="000E342B" w:rsidRDefault="00547B72" w:rsidP="00630761">
            <w:pPr>
              <w:spacing w:before="0"/>
            </w:pPr>
            <w:r w:rsidRPr="000E342B">
              <w:t>215(5)</w:t>
            </w:r>
          </w:p>
        </w:tc>
        <w:tc>
          <w:tcPr>
            <w:tcW w:w="384" w:type="pct"/>
            <w:shd w:val="clear" w:color="auto" w:fill="D9D9D9" w:themeFill="background1" w:themeFillShade="D9"/>
          </w:tcPr>
          <w:p w14:paraId="46F66669" w14:textId="77777777" w:rsidR="00547B72" w:rsidRPr="000E342B" w:rsidRDefault="00547B72" w:rsidP="00630761">
            <w:pPr>
              <w:spacing w:before="0"/>
              <w:jc w:val="center"/>
            </w:pPr>
            <w:r w:rsidRPr="000E342B">
              <w:t>-</w:t>
            </w:r>
          </w:p>
        </w:tc>
        <w:tc>
          <w:tcPr>
            <w:tcW w:w="424" w:type="pct"/>
          </w:tcPr>
          <w:p w14:paraId="75C3943F"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6B1B2760" w14:textId="77777777" w:rsidR="00547B72" w:rsidRPr="000E342B" w:rsidRDefault="00547B72" w:rsidP="00630761">
            <w:pPr>
              <w:spacing w:before="0"/>
              <w:jc w:val="center"/>
              <w:rPr>
                <w:lang w:eastAsia="ja-JP"/>
              </w:rPr>
            </w:pPr>
            <w:r w:rsidRPr="000E342B">
              <w:rPr>
                <w:lang w:eastAsia="ja-JP"/>
              </w:rPr>
              <w:t>300 pu</w:t>
            </w:r>
          </w:p>
          <w:p w14:paraId="0BC27CB3" w14:textId="77777777" w:rsidR="00547B72" w:rsidRPr="000E342B" w:rsidRDefault="00547B72" w:rsidP="00630761">
            <w:pPr>
              <w:spacing w:before="0"/>
              <w:jc w:val="center"/>
              <w:rPr>
                <w:lang w:eastAsia="ja-JP"/>
              </w:rPr>
            </w:pPr>
            <w:r w:rsidRPr="000E342B">
              <w:rPr>
                <w:lang w:eastAsia="ja-JP"/>
              </w:rPr>
              <w:t>$66,600</w:t>
            </w:r>
          </w:p>
        </w:tc>
        <w:tc>
          <w:tcPr>
            <w:tcW w:w="491" w:type="pct"/>
          </w:tcPr>
          <w:p w14:paraId="3F368504"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2999C7D1"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7945BD88" w14:textId="77777777" w:rsidTr="00630761">
        <w:trPr>
          <w:cantSplit/>
          <w:trHeight w:val="317"/>
        </w:trPr>
        <w:tc>
          <w:tcPr>
            <w:tcW w:w="354" w:type="pct"/>
            <w:vMerge/>
            <w:shd w:val="clear" w:color="auto" w:fill="D9E2F3" w:themeFill="accent1" w:themeFillTint="33"/>
          </w:tcPr>
          <w:p w14:paraId="2F5D7BA0" w14:textId="77777777" w:rsidR="00547B72" w:rsidRPr="000E342B" w:rsidRDefault="00547B72" w:rsidP="00630761">
            <w:pPr>
              <w:spacing w:before="0"/>
              <w:rPr>
                <w:lang w:eastAsia="ja-JP"/>
              </w:rPr>
            </w:pPr>
          </w:p>
        </w:tc>
        <w:tc>
          <w:tcPr>
            <w:tcW w:w="2444" w:type="pct"/>
            <w:vMerge/>
          </w:tcPr>
          <w:p w14:paraId="305C6299" w14:textId="77777777" w:rsidR="00547B72" w:rsidRPr="000E342B" w:rsidRDefault="00547B72" w:rsidP="00630761">
            <w:pPr>
              <w:spacing w:before="0"/>
            </w:pPr>
          </w:p>
        </w:tc>
        <w:tc>
          <w:tcPr>
            <w:tcW w:w="473" w:type="pct"/>
            <w:shd w:val="clear" w:color="auto" w:fill="D9E2F3" w:themeFill="accent1" w:themeFillTint="33"/>
          </w:tcPr>
          <w:p w14:paraId="633F4745" w14:textId="77777777" w:rsidR="00547B72" w:rsidRPr="000E342B" w:rsidRDefault="00547B72" w:rsidP="00630761">
            <w:pPr>
              <w:spacing w:before="0"/>
            </w:pPr>
            <w:r w:rsidRPr="000E342B">
              <w:t>215(6)</w:t>
            </w:r>
          </w:p>
        </w:tc>
        <w:tc>
          <w:tcPr>
            <w:tcW w:w="384" w:type="pct"/>
            <w:shd w:val="clear" w:color="auto" w:fill="D9D9D9" w:themeFill="background1" w:themeFillShade="D9"/>
          </w:tcPr>
          <w:p w14:paraId="0D9E0B0B" w14:textId="77777777" w:rsidR="00547B72" w:rsidRPr="000E342B" w:rsidRDefault="00547B72" w:rsidP="00630761">
            <w:pPr>
              <w:spacing w:before="0"/>
              <w:jc w:val="center"/>
            </w:pPr>
            <w:r w:rsidRPr="000E342B">
              <w:t>-</w:t>
            </w:r>
          </w:p>
        </w:tc>
        <w:tc>
          <w:tcPr>
            <w:tcW w:w="424" w:type="pct"/>
          </w:tcPr>
          <w:p w14:paraId="031A6AD5"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27812BF2" w14:textId="77777777" w:rsidR="00547B72" w:rsidRPr="000E342B" w:rsidRDefault="00547B72" w:rsidP="00630761">
            <w:pPr>
              <w:spacing w:before="0"/>
              <w:jc w:val="center"/>
              <w:rPr>
                <w:lang w:eastAsia="ja-JP"/>
              </w:rPr>
            </w:pPr>
            <w:r w:rsidRPr="000E342B">
              <w:rPr>
                <w:lang w:eastAsia="ja-JP"/>
              </w:rPr>
              <w:t>300 pu</w:t>
            </w:r>
          </w:p>
          <w:p w14:paraId="217FB018" w14:textId="77777777" w:rsidR="00547B72" w:rsidRPr="000E342B" w:rsidRDefault="00547B72" w:rsidP="00630761">
            <w:pPr>
              <w:spacing w:before="0"/>
              <w:jc w:val="center"/>
              <w:rPr>
                <w:lang w:eastAsia="ja-JP"/>
              </w:rPr>
            </w:pPr>
            <w:r w:rsidRPr="000E342B">
              <w:rPr>
                <w:lang w:eastAsia="ja-JP"/>
              </w:rPr>
              <w:t>$66,600</w:t>
            </w:r>
          </w:p>
        </w:tc>
        <w:tc>
          <w:tcPr>
            <w:tcW w:w="491" w:type="pct"/>
          </w:tcPr>
          <w:p w14:paraId="3A9356A5"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416FCE2F"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7FFB23D3" w14:textId="77777777" w:rsidTr="00E63B6B">
        <w:trPr>
          <w:cantSplit/>
          <w:trHeight w:val="318"/>
        </w:trPr>
        <w:tc>
          <w:tcPr>
            <w:tcW w:w="354" w:type="pct"/>
            <w:vMerge/>
            <w:shd w:val="clear" w:color="auto" w:fill="D9E2F3" w:themeFill="accent1" w:themeFillTint="33"/>
          </w:tcPr>
          <w:p w14:paraId="03851028" w14:textId="77777777" w:rsidR="00547B72" w:rsidRPr="000E342B" w:rsidRDefault="00547B72" w:rsidP="00630761">
            <w:pPr>
              <w:spacing w:before="0"/>
              <w:rPr>
                <w:lang w:eastAsia="ja-JP"/>
              </w:rPr>
            </w:pPr>
          </w:p>
        </w:tc>
        <w:tc>
          <w:tcPr>
            <w:tcW w:w="2444" w:type="pct"/>
            <w:vMerge/>
          </w:tcPr>
          <w:p w14:paraId="22C98ADA" w14:textId="77777777" w:rsidR="00547B72" w:rsidRPr="000E342B" w:rsidRDefault="00547B72" w:rsidP="00630761">
            <w:pPr>
              <w:spacing w:before="0"/>
            </w:pPr>
          </w:p>
        </w:tc>
        <w:tc>
          <w:tcPr>
            <w:tcW w:w="473" w:type="pct"/>
            <w:shd w:val="clear" w:color="auto" w:fill="D9E2F3" w:themeFill="accent1" w:themeFillTint="33"/>
          </w:tcPr>
          <w:p w14:paraId="28E08924" w14:textId="77777777" w:rsidR="00547B72" w:rsidRPr="000E342B" w:rsidRDefault="00547B72" w:rsidP="00630761">
            <w:pPr>
              <w:spacing w:before="0"/>
            </w:pPr>
            <w:r w:rsidRPr="000E342B">
              <w:t>215(7)</w:t>
            </w:r>
          </w:p>
        </w:tc>
        <w:tc>
          <w:tcPr>
            <w:tcW w:w="384" w:type="pct"/>
            <w:shd w:val="clear" w:color="auto" w:fill="D9D9D9" w:themeFill="background1" w:themeFillShade="D9"/>
          </w:tcPr>
          <w:p w14:paraId="48F9E98B" w14:textId="77777777" w:rsidR="00547B72" w:rsidRPr="000E342B" w:rsidRDefault="00547B72" w:rsidP="00630761">
            <w:pPr>
              <w:spacing w:before="0"/>
              <w:jc w:val="center"/>
            </w:pPr>
            <w:r w:rsidRPr="000E342B">
              <w:t>120 pu</w:t>
            </w:r>
          </w:p>
          <w:p w14:paraId="36814D91" w14:textId="77777777" w:rsidR="00547B72" w:rsidRPr="000E342B" w:rsidRDefault="00547B72" w:rsidP="00630761">
            <w:pPr>
              <w:spacing w:before="0"/>
              <w:jc w:val="center"/>
            </w:pPr>
            <w:r w:rsidRPr="000E342B">
              <w:rPr>
                <w:lang w:eastAsia="ja-JP"/>
              </w:rPr>
              <w:t>$26,640</w:t>
            </w:r>
          </w:p>
        </w:tc>
        <w:tc>
          <w:tcPr>
            <w:tcW w:w="424" w:type="pct"/>
          </w:tcPr>
          <w:p w14:paraId="198985E0" w14:textId="77777777" w:rsidR="00547B72" w:rsidRPr="000E342B" w:rsidRDefault="00547B72" w:rsidP="00630761">
            <w:pPr>
              <w:spacing w:before="0"/>
              <w:jc w:val="center"/>
              <w:rPr>
                <w:lang w:eastAsia="ja-JP"/>
              </w:rPr>
            </w:pPr>
            <w:r w:rsidRPr="000E342B">
              <w:rPr>
                <w:lang w:eastAsia="ja-JP"/>
              </w:rPr>
              <w:t>300 pu</w:t>
            </w:r>
          </w:p>
          <w:p w14:paraId="4BE19FD1"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29BCECAB" w14:textId="77777777" w:rsidR="00547B72" w:rsidRPr="000E342B" w:rsidRDefault="00547B72" w:rsidP="00630761">
            <w:pPr>
              <w:spacing w:before="0"/>
              <w:jc w:val="center"/>
              <w:rPr>
                <w:lang w:eastAsia="ja-JP"/>
              </w:rPr>
            </w:pPr>
            <w:r w:rsidRPr="000E342B">
              <w:rPr>
                <w:lang w:eastAsia="ja-JP"/>
              </w:rPr>
              <w:t>-</w:t>
            </w:r>
          </w:p>
        </w:tc>
        <w:tc>
          <w:tcPr>
            <w:tcW w:w="491" w:type="pct"/>
          </w:tcPr>
          <w:p w14:paraId="4FD02A7F" w14:textId="77777777" w:rsidR="00547B72" w:rsidRPr="000E342B" w:rsidRDefault="00547B72" w:rsidP="00630761">
            <w:pPr>
              <w:spacing w:before="0"/>
              <w:jc w:val="center"/>
              <w:rPr>
                <w:lang w:eastAsia="ja-JP"/>
              </w:rPr>
            </w:pPr>
            <w:r w:rsidRPr="000E342B">
              <w:rPr>
                <w:lang w:eastAsia="ja-JP"/>
              </w:rPr>
              <w:t>-</w:t>
            </w:r>
          </w:p>
        </w:tc>
      </w:tr>
      <w:tr w:rsidR="00547B72" w:rsidRPr="000E342B" w14:paraId="01D4A85E" w14:textId="77777777" w:rsidTr="00E63B6B">
        <w:trPr>
          <w:cantSplit/>
          <w:trHeight w:val="318"/>
        </w:trPr>
        <w:tc>
          <w:tcPr>
            <w:tcW w:w="354" w:type="pct"/>
            <w:vMerge/>
            <w:shd w:val="clear" w:color="auto" w:fill="D9E2F3" w:themeFill="accent1" w:themeFillTint="33"/>
          </w:tcPr>
          <w:p w14:paraId="609A3FC0" w14:textId="77777777" w:rsidR="00547B72" w:rsidRPr="000E342B" w:rsidRDefault="00547B72" w:rsidP="00630761">
            <w:pPr>
              <w:spacing w:before="0"/>
              <w:rPr>
                <w:lang w:eastAsia="ja-JP"/>
              </w:rPr>
            </w:pPr>
          </w:p>
        </w:tc>
        <w:tc>
          <w:tcPr>
            <w:tcW w:w="2444" w:type="pct"/>
            <w:vMerge/>
          </w:tcPr>
          <w:p w14:paraId="188C8A62" w14:textId="77777777" w:rsidR="00547B72" w:rsidRPr="000E342B" w:rsidRDefault="00547B72" w:rsidP="00630761">
            <w:pPr>
              <w:spacing w:before="0"/>
            </w:pPr>
          </w:p>
        </w:tc>
        <w:tc>
          <w:tcPr>
            <w:tcW w:w="473" w:type="pct"/>
            <w:shd w:val="clear" w:color="auto" w:fill="D9E2F3" w:themeFill="accent1" w:themeFillTint="33"/>
          </w:tcPr>
          <w:p w14:paraId="62A59F13" w14:textId="77777777" w:rsidR="00547B72" w:rsidRPr="000E342B" w:rsidRDefault="00547B72" w:rsidP="00630761">
            <w:pPr>
              <w:spacing w:before="0"/>
            </w:pPr>
            <w:r w:rsidRPr="000E342B">
              <w:t>215(8)</w:t>
            </w:r>
          </w:p>
        </w:tc>
        <w:tc>
          <w:tcPr>
            <w:tcW w:w="384" w:type="pct"/>
            <w:shd w:val="clear" w:color="auto" w:fill="D9D9D9" w:themeFill="background1" w:themeFillShade="D9"/>
          </w:tcPr>
          <w:p w14:paraId="06D49511" w14:textId="77777777" w:rsidR="00547B72" w:rsidRPr="000E342B" w:rsidRDefault="00547B72" w:rsidP="00630761">
            <w:pPr>
              <w:spacing w:before="0"/>
              <w:jc w:val="center"/>
            </w:pPr>
            <w:r w:rsidRPr="000E342B">
              <w:t>120 pu</w:t>
            </w:r>
          </w:p>
          <w:p w14:paraId="246755A4" w14:textId="77777777" w:rsidR="00547B72" w:rsidRPr="000E342B" w:rsidRDefault="00547B72" w:rsidP="00630761">
            <w:pPr>
              <w:spacing w:before="0"/>
              <w:jc w:val="center"/>
            </w:pPr>
            <w:r w:rsidRPr="000E342B">
              <w:rPr>
                <w:lang w:eastAsia="ja-JP"/>
              </w:rPr>
              <w:t>$26,640</w:t>
            </w:r>
          </w:p>
        </w:tc>
        <w:tc>
          <w:tcPr>
            <w:tcW w:w="424" w:type="pct"/>
          </w:tcPr>
          <w:p w14:paraId="2B4D2B5A" w14:textId="77777777" w:rsidR="00547B72" w:rsidRPr="000E342B" w:rsidRDefault="00547B72" w:rsidP="00630761">
            <w:pPr>
              <w:spacing w:before="0"/>
              <w:jc w:val="center"/>
              <w:rPr>
                <w:lang w:eastAsia="ja-JP"/>
              </w:rPr>
            </w:pPr>
            <w:r w:rsidRPr="000E342B">
              <w:rPr>
                <w:lang w:eastAsia="ja-JP"/>
              </w:rPr>
              <w:t>300 pu</w:t>
            </w:r>
          </w:p>
          <w:p w14:paraId="4A84ED11"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6887890E" w14:textId="77777777" w:rsidR="00547B72" w:rsidRPr="000E342B" w:rsidRDefault="00547B72" w:rsidP="00630761">
            <w:pPr>
              <w:spacing w:before="0"/>
              <w:jc w:val="center"/>
              <w:rPr>
                <w:lang w:eastAsia="ja-JP"/>
              </w:rPr>
            </w:pPr>
            <w:r w:rsidRPr="000E342B">
              <w:rPr>
                <w:lang w:eastAsia="ja-JP"/>
              </w:rPr>
              <w:t>-</w:t>
            </w:r>
          </w:p>
        </w:tc>
        <w:tc>
          <w:tcPr>
            <w:tcW w:w="491" w:type="pct"/>
          </w:tcPr>
          <w:p w14:paraId="32A1BCCC" w14:textId="77777777" w:rsidR="00547B72" w:rsidRPr="000E342B" w:rsidRDefault="00547B72" w:rsidP="00630761">
            <w:pPr>
              <w:spacing w:before="0"/>
              <w:jc w:val="center"/>
              <w:rPr>
                <w:lang w:eastAsia="ja-JP"/>
              </w:rPr>
            </w:pPr>
            <w:r w:rsidRPr="000E342B">
              <w:rPr>
                <w:lang w:eastAsia="ja-JP"/>
              </w:rPr>
              <w:t>-</w:t>
            </w:r>
          </w:p>
        </w:tc>
      </w:tr>
      <w:tr w:rsidR="00547B72" w:rsidRPr="000E342B" w14:paraId="1EE03470" w14:textId="77777777" w:rsidTr="00630761">
        <w:trPr>
          <w:cantSplit/>
          <w:trHeight w:val="225"/>
        </w:trPr>
        <w:tc>
          <w:tcPr>
            <w:tcW w:w="354" w:type="pct"/>
            <w:vMerge w:val="restart"/>
            <w:shd w:val="clear" w:color="auto" w:fill="D9E2F3" w:themeFill="accent1" w:themeFillTint="33"/>
          </w:tcPr>
          <w:p w14:paraId="564BD1D9" w14:textId="77777777" w:rsidR="00547B72" w:rsidRPr="000E342B" w:rsidRDefault="00547B72" w:rsidP="00630761">
            <w:pPr>
              <w:spacing w:before="0"/>
              <w:rPr>
                <w:lang w:eastAsia="ja-JP"/>
              </w:rPr>
            </w:pPr>
            <w:r w:rsidRPr="000E342B">
              <w:rPr>
                <w:lang w:eastAsia="ja-JP"/>
              </w:rPr>
              <w:t>216</w:t>
            </w:r>
          </w:p>
        </w:tc>
        <w:tc>
          <w:tcPr>
            <w:tcW w:w="2444" w:type="pct"/>
            <w:vMerge w:val="restart"/>
          </w:tcPr>
          <w:p w14:paraId="35BE586A" w14:textId="77777777" w:rsidR="00547B72" w:rsidRPr="000E342B" w:rsidRDefault="00547B72" w:rsidP="00630761">
            <w:pPr>
              <w:spacing w:before="0"/>
            </w:pPr>
            <w:r w:rsidRPr="000E342B">
              <w:t>Unauthorised persons must not move, deal with</w:t>
            </w:r>
            <w:r>
              <w:t xml:space="preserve"> or interfere with a</w:t>
            </w:r>
            <w:r w:rsidRPr="000E342B">
              <w:t xml:space="preserve"> conveyance in relation to which a biosecurity notice has been affixed to under s 214(1)</w:t>
            </w:r>
            <w:r>
              <w:t xml:space="preserve"> unless the exceptions in s 216(1)(c) apply</w:t>
            </w:r>
            <w:r w:rsidRPr="000E342B">
              <w:t>.</w:t>
            </w:r>
          </w:p>
        </w:tc>
        <w:tc>
          <w:tcPr>
            <w:tcW w:w="473" w:type="pct"/>
            <w:shd w:val="clear" w:color="auto" w:fill="D9E2F3" w:themeFill="accent1" w:themeFillTint="33"/>
          </w:tcPr>
          <w:p w14:paraId="6252982C" w14:textId="77777777" w:rsidR="00547B72" w:rsidRPr="000E342B" w:rsidRDefault="00547B72" w:rsidP="00630761">
            <w:pPr>
              <w:spacing w:before="0"/>
            </w:pPr>
            <w:r w:rsidRPr="000E342B">
              <w:t>216(3)</w:t>
            </w:r>
          </w:p>
        </w:tc>
        <w:tc>
          <w:tcPr>
            <w:tcW w:w="384" w:type="pct"/>
            <w:shd w:val="clear" w:color="auto" w:fill="D9D9D9" w:themeFill="background1" w:themeFillShade="D9"/>
          </w:tcPr>
          <w:p w14:paraId="15A4BCA2" w14:textId="77777777" w:rsidR="00547B72" w:rsidRPr="000E342B" w:rsidRDefault="00547B72" w:rsidP="00630761">
            <w:pPr>
              <w:spacing w:before="0"/>
              <w:jc w:val="center"/>
            </w:pPr>
            <w:r w:rsidRPr="000E342B">
              <w:t>-</w:t>
            </w:r>
          </w:p>
        </w:tc>
        <w:tc>
          <w:tcPr>
            <w:tcW w:w="424" w:type="pct"/>
          </w:tcPr>
          <w:p w14:paraId="6BE554DC"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57F57D19" w14:textId="77777777" w:rsidR="00547B72" w:rsidRPr="000E342B" w:rsidRDefault="00547B72" w:rsidP="00630761">
            <w:pPr>
              <w:spacing w:before="0"/>
              <w:jc w:val="center"/>
              <w:rPr>
                <w:lang w:eastAsia="ja-JP"/>
              </w:rPr>
            </w:pPr>
            <w:r w:rsidRPr="000E342B">
              <w:rPr>
                <w:lang w:eastAsia="ja-JP"/>
              </w:rPr>
              <w:t>300 pu</w:t>
            </w:r>
          </w:p>
          <w:p w14:paraId="7FCD079D" w14:textId="77777777" w:rsidR="00547B72" w:rsidRPr="000E342B" w:rsidRDefault="00547B72" w:rsidP="00630761">
            <w:pPr>
              <w:spacing w:before="0"/>
              <w:jc w:val="center"/>
              <w:rPr>
                <w:lang w:eastAsia="ja-JP"/>
              </w:rPr>
            </w:pPr>
            <w:r w:rsidRPr="000E342B">
              <w:rPr>
                <w:lang w:eastAsia="ja-JP"/>
              </w:rPr>
              <w:t>$66,600</w:t>
            </w:r>
          </w:p>
        </w:tc>
        <w:tc>
          <w:tcPr>
            <w:tcW w:w="491" w:type="pct"/>
          </w:tcPr>
          <w:p w14:paraId="77AA0293"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5031BB03"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65F9F2FD" w14:textId="77777777" w:rsidTr="00630761">
        <w:trPr>
          <w:cantSplit/>
          <w:trHeight w:val="544"/>
        </w:trPr>
        <w:tc>
          <w:tcPr>
            <w:tcW w:w="354" w:type="pct"/>
            <w:vMerge/>
            <w:shd w:val="clear" w:color="auto" w:fill="D9E2F3" w:themeFill="accent1" w:themeFillTint="33"/>
          </w:tcPr>
          <w:p w14:paraId="1A487811" w14:textId="77777777" w:rsidR="00547B72" w:rsidRPr="000E342B" w:rsidRDefault="00547B72" w:rsidP="00630761">
            <w:pPr>
              <w:spacing w:before="0"/>
              <w:rPr>
                <w:lang w:eastAsia="ja-JP"/>
              </w:rPr>
            </w:pPr>
          </w:p>
        </w:tc>
        <w:tc>
          <w:tcPr>
            <w:tcW w:w="2444" w:type="pct"/>
            <w:vMerge/>
          </w:tcPr>
          <w:p w14:paraId="6932F3AC" w14:textId="77777777" w:rsidR="00547B72" w:rsidRPr="000E342B" w:rsidRDefault="00547B72" w:rsidP="00630761">
            <w:pPr>
              <w:spacing w:before="0"/>
            </w:pPr>
          </w:p>
        </w:tc>
        <w:tc>
          <w:tcPr>
            <w:tcW w:w="473" w:type="pct"/>
            <w:shd w:val="clear" w:color="auto" w:fill="D9E2F3" w:themeFill="accent1" w:themeFillTint="33"/>
          </w:tcPr>
          <w:p w14:paraId="62BB02F8" w14:textId="77777777" w:rsidR="00547B72" w:rsidRPr="000E342B" w:rsidRDefault="00547B72" w:rsidP="00630761">
            <w:pPr>
              <w:spacing w:before="0"/>
            </w:pPr>
            <w:r w:rsidRPr="000E342B">
              <w:t>216(4)</w:t>
            </w:r>
          </w:p>
        </w:tc>
        <w:tc>
          <w:tcPr>
            <w:tcW w:w="384" w:type="pct"/>
            <w:shd w:val="clear" w:color="auto" w:fill="D9D9D9" w:themeFill="background1" w:themeFillShade="D9"/>
          </w:tcPr>
          <w:p w14:paraId="3B6DDD1B" w14:textId="77777777" w:rsidR="00547B72" w:rsidRPr="000E342B" w:rsidRDefault="00547B72" w:rsidP="00630761">
            <w:pPr>
              <w:spacing w:before="0"/>
              <w:jc w:val="center"/>
            </w:pPr>
            <w:r w:rsidRPr="000E342B">
              <w:t>120 pu</w:t>
            </w:r>
          </w:p>
          <w:p w14:paraId="00C815B3" w14:textId="77777777" w:rsidR="00547B72" w:rsidRPr="000E342B" w:rsidRDefault="00547B72" w:rsidP="00630761">
            <w:pPr>
              <w:spacing w:before="0"/>
              <w:jc w:val="center"/>
            </w:pPr>
            <w:r w:rsidRPr="000E342B">
              <w:rPr>
                <w:lang w:eastAsia="ja-JP"/>
              </w:rPr>
              <w:t>$26,640</w:t>
            </w:r>
          </w:p>
        </w:tc>
        <w:tc>
          <w:tcPr>
            <w:tcW w:w="424" w:type="pct"/>
          </w:tcPr>
          <w:p w14:paraId="16F5330B" w14:textId="77777777" w:rsidR="00547B72" w:rsidRPr="000E342B" w:rsidRDefault="00547B72" w:rsidP="00630761">
            <w:pPr>
              <w:spacing w:before="0"/>
              <w:jc w:val="center"/>
              <w:rPr>
                <w:lang w:eastAsia="ja-JP"/>
              </w:rPr>
            </w:pPr>
            <w:r w:rsidRPr="000E342B">
              <w:rPr>
                <w:lang w:eastAsia="ja-JP"/>
              </w:rPr>
              <w:t>300 pu</w:t>
            </w:r>
          </w:p>
          <w:p w14:paraId="57B3FD9E"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2F158CD3" w14:textId="77777777" w:rsidR="00547B72" w:rsidRPr="000E342B" w:rsidRDefault="00547B72" w:rsidP="00630761">
            <w:pPr>
              <w:spacing w:before="0"/>
              <w:jc w:val="center"/>
              <w:rPr>
                <w:lang w:eastAsia="ja-JP"/>
              </w:rPr>
            </w:pPr>
            <w:r w:rsidRPr="000E342B">
              <w:rPr>
                <w:lang w:eastAsia="ja-JP"/>
              </w:rPr>
              <w:t>-</w:t>
            </w:r>
          </w:p>
        </w:tc>
        <w:tc>
          <w:tcPr>
            <w:tcW w:w="491" w:type="pct"/>
          </w:tcPr>
          <w:p w14:paraId="68C84488" w14:textId="77777777" w:rsidR="00547B72" w:rsidRPr="000E342B" w:rsidRDefault="00547B72" w:rsidP="00630761">
            <w:pPr>
              <w:spacing w:before="0"/>
              <w:jc w:val="center"/>
              <w:rPr>
                <w:lang w:eastAsia="ja-JP"/>
              </w:rPr>
            </w:pPr>
            <w:r w:rsidRPr="000E342B">
              <w:rPr>
                <w:lang w:eastAsia="ja-JP"/>
              </w:rPr>
              <w:t>-</w:t>
            </w:r>
          </w:p>
        </w:tc>
      </w:tr>
      <w:tr w:rsidR="00547B72" w:rsidRPr="000E342B" w14:paraId="2B6D0A95" w14:textId="77777777" w:rsidTr="00630761">
        <w:trPr>
          <w:cantSplit/>
          <w:trHeight w:val="552"/>
        </w:trPr>
        <w:tc>
          <w:tcPr>
            <w:tcW w:w="5000" w:type="pct"/>
            <w:gridSpan w:val="7"/>
            <w:shd w:val="clear" w:color="auto" w:fill="D9E2F3" w:themeFill="accent1" w:themeFillTint="33"/>
          </w:tcPr>
          <w:p w14:paraId="40EBCF18" w14:textId="77777777" w:rsidR="00547B72" w:rsidRPr="000E342B" w:rsidRDefault="00547B72" w:rsidP="00630761">
            <w:pPr>
              <w:spacing w:before="0"/>
              <w:rPr>
                <w:rFonts w:cstheme="minorHAnsi"/>
                <w:b/>
                <w:bCs/>
                <w:lang w:eastAsia="ja-JP"/>
              </w:rPr>
            </w:pPr>
            <w:r w:rsidRPr="000E342B">
              <w:rPr>
                <w:rFonts w:cstheme="minorHAnsi"/>
                <w:b/>
                <w:bCs/>
                <w:lang w:eastAsia="ja-JP"/>
              </w:rPr>
              <w:t>Chapter 4 – Managing biosecurity risks: conveyances</w:t>
            </w:r>
          </w:p>
          <w:p w14:paraId="317496DF" w14:textId="77777777" w:rsidR="00547B72" w:rsidRPr="000E342B" w:rsidRDefault="00547B72" w:rsidP="00630761">
            <w:pPr>
              <w:spacing w:before="0"/>
              <w:rPr>
                <w:rFonts w:cstheme="minorHAnsi"/>
                <w:b/>
                <w:bCs/>
                <w:lang w:eastAsia="ja-JP"/>
              </w:rPr>
            </w:pPr>
            <w:r w:rsidRPr="000E342B">
              <w:rPr>
                <w:rFonts w:cstheme="minorHAnsi"/>
                <w:b/>
                <w:bCs/>
                <w:lang w:eastAsia="ja-JP"/>
              </w:rPr>
              <w:t>Part 2—Conveyances entering Australian territory etc.</w:t>
            </w:r>
          </w:p>
          <w:p w14:paraId="60CCC9F8" w14:textId="77777777" w:rsidR="00547B72" w:rsidRPr="000E342B" w:rsidRDefault="00547B72" w:rsidP="00630761">
            <w:pPr>
              <w:spacing w:before="0"/>
              <w:rPr>
                <w:lang w:eastAsia="ja-JP"/>
              </w:rPr>
            </w:pPr>
            <w:r w:rsidRPr="000E342B">
              <w:rPr>
                <w:rFonts w:cstheme="minorHAnsi"/>
                <w:b/>
                <w:bCs/>
                <w:lang w:eastAsia="ja-JP"/>
              </w:rPr>
              <w:t>Division 6 – Leaving conveyances</w:t>
            </w:r>
          </w:p>
        </w:tc>
      </w:tr>
      <w:tr w:rsidR="00547B72" w:rsidRPr="000E342B" w14:paraId="25ACA640" w14:textId="77777777" w:rsidTr="00630761">
        <w:trPr>
          <w:cantSplit/>
          <w:trHeight w:val="493"/>
        </w:trPr>
        <w:tc>
          <w:tcPr>
            <w:tcW w:w="354" w:type="pct"/>
            <w:vMerge w:val="restart"/>
            <w:shd w:val="clear" w:color="auto" w:fill="D9E2F3" w:themeFill="accent1" w:themeFillTint="33"/>
          </w:tcPr>
          <w:p w14:paraId="113BC7A7" w14:textId="77777777" w:rsidR="00547B72" w:rsidRPr="000E342B" w:rsidRDefault="00547B72" w:rsidP="00630761">
            <w:pPr>
              <w:spacing w:before="0"/>
              <w:rPr>
                <w:lang w:eastAsia="ja-JP"/>
              </w:rPr>
            </w:pPr>
            <w:r w:rsidRPr="000E342B">
              <w:rPr>
                <w:lang w:eastAsia="ja-JP"/>
              </w:rPr>
              <w:t>217</w:t>
            </w:r>
          </w:p>
        </w:tc>
        <w:tc>
          <w:tcPr>
            <w:tcW w:w="2444" w:type="pct"/>
            <w:vMerge w:val="restart"/>
          </w:tcPr>
          <w:p w14:paraId="3D671D1F" w14:textId="77777777" w:rsidR="00547B72" w:rsidRPr="000E342B" w:rsidRDefault="00547B72" w:rsidP="00630761">
            <w:pPr>
              <w:spacing w:before="0"/>
            </w:pPr>
            <w:r w:rsidRPr="000E342B">
              <w:t>Person in charge of conveyance must not leave conveyance if a biosecurity officer has directed the person not to do so.</w:t>
            </w:r>
          </w:p>
        </w:tc>
        <w:tc>
          <w:tcPr>
            <w:tcW w:w="473" w:type="pct"/>
            <w:shd w:val="clear" w:color="auto" w:fill="D9E2F3" w:themeFill="accent1" w:themeFillTint="33"/>
          </w:tcPr>
          <w:p w14:paraId="37D504BB" w14:textId="77777777" w:rsidR="00547B72" w:rsidRPr="000E342B" w:rsidRDefault="00547B72" w:rsidP="00630761">
            <w:pPr>
              <w:spacing w:before="0"/>
            </w:pPr>
            <w:r w:rsidRPr="000E342B">
              <w:t>217(4)</w:t>
            </w:r>
          </w:p>
        </w:tc>
        <w:tc>
          <w:tcPr>
            <w:tcW w:w="384" w:type="pct"/>
            <w:shd w:val="clear" w:color="auto" w:fill="D9D9D9" w:themeFill="background1" w:themeFillShade="D9"/>
          </w:tcPr>
          <w:p w14:paraId="022344F1" w14:textId="77777777" w:rsidR="00547B72" w:rsidRPr="000E342B" w:rsidRDefault="00547B72" w:rsidP="00630761">
            <w:pPr>
              <w:spacing w:before="0"/>
              <w:jc w:val="center"/>
            </w:pPr>
            <w:r w:rsidRPr="000E342B">
              <w:t>-</w:t>
            </w:r>
          </w:p>
        </w:tc>
        <w:tc>
          <w:tcPr>
            <w:tcW w:w="424" w:type="pct"/>
          </w:tcPr>
          <w:p w14:paraId="1E187E36"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2CAE9AFD" w14:textId="77777777" w:rsidR="00547B72" w:rsidRPr="000E342B" w:rsidRDefault="00547B72" w:rsidP="00630761">
            <w:pPr>
              <w:spacing w:before="0"/>
              <w:jc w:val="center"/>
              <w:rPr>
                <w:lang w:eastAsia="ja-JP"/>
              </w:rPr>
            </w:pPr>
            <w:r w:rsidRPr="000E342B">
              <w:rPr>
                <w:lang w:eastAsia="ja-JP"/>
              </w:rPr>
              <w:t>300 pu</w:t>
            </w:r>
          </w:p>
          <w:p w14:paraId="417C9D53" w14:textId="77777777" w:rsidR="00547B72" w:rsidRPr="000E342B" w:rsidRDefault="00547B72" w:rsidP="00630761">
            <w:pPr>
              <w:spacing w:before="0"/>
              <w:jc w:val="center"/>
              <w:rPr>
                <w:lang w:eastAsia="ja-JP"/>
              </w:rPr>
            </w:pPr>
            <w:r w:rsidRPr="000E342B">
              <w:rPr>
                <w:lang w:eastAsia="ja-JP"/>
              </w:rPr>
              <w:t>$66,600</w:t>
            </w:r>
          </w:p>
        </w:tc>
        <w:tc>
          <w:tcPr>
            <w:tcW w:w="491" w:type="pct"/>
          </w:tcPr>
          <w:p w14:paraId="64AC4295"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3F832845"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44CDC777" w14:textId="77777777" w:rsidTr="00630761">
        <w:trPr>
          <w:cantSplit/>
          <w:trHeight w:val="387"/>
        </w:trPr>
        <w:tc>
          <w:tcPr>
            <w:tcW w:w="354" w:type="pct"/>
            <w:vMerge/>
            <w:shd w:val="clear" w:color="auto" w:fill="D9E2F3" w:themeFill="accent1" w:themeFillTint="33"/>
          </w:tcPr>
          <w:p w14:paraId="6B72AE27" w14:textId="77777777" w:rsidR="00547B72" w:rsidRPr="000E342B" w:rsidRDefault="00547B72" w:rsidP="00630761">
            <w:pPr>
              <w:spacing w:before="0"/>
              <w:rPr>
                <w:lang w:eastAsia="ja-JP"/>
              </w:rPr>
            </w:pPr>
          </w:p>
        </w:tc>
        <w:tc>
          <w:tcPr>
            <w:tcW w:w="2444" w:type="pct"/>
            <w:vMerge/>
          </w:tcPr>
          <w:p w14:paraId="29900442" w14:textId="77777777" w:rsidR="00547B72" w:rsidRPr="000E342B" w:rsidRDefault="00547B72" w:rsidP="00630761">
            <w:pPr>
              <w:spacing w:before="0"/>
            </w:pPr>
          </w:p>
        </w:tc>
        <w:tc>
          <w:tcPr>
            <w:tcW w:w="473" w:type="pct"/>
            <w:shd w:val="clear" w:color="auto" w:fill="D9E2F3" w:themeFill="accent1" w:themeFillTint="33"/>
          </w:tcPr>
          <w:p w14:paraId="150015A5" w14:textId="77777777" w:rsidR="00547B72" w:rsidRPr="000E342B" w:rsidRDefault="00547B72" w:rsidP="00630761">
            <w:pPr>
              <w:spacing w:before="0"/>
            </w:pPr>
            <w:r w:rsidRPr="000E342B">
              <w:t>217(5)</w:t>
            </w:r>
          </w:p>
        </w:tc>
        <w:tc>
          <w:tcPr>
            <w:tcW w:w="384" w:type="pct"/>
            <w:shd w:val="clear" w:color="auto" w:fill="D9D9D9" w:themeFill="background1" w:themeFillShade="D9"/>
          </w:tcPr>
          <w:p w14:paraId="3F4B2139" w14:textId="77777777" w:rsidR="00547B72" w:rsidRPr="000E342B" w:rsidRDefault="00547B72" w:rsidP="00630761">
            <w:pPr>
              <w:spacing w:before="0"/>
              <w:jc w:val="center"/>
            </w:pPr>
            <w:r w:rsidRPr="000E342B">
              <w:t>120 pu</w:t>
            </w:r>
          </w:p>
          <w:p w14:paraId="40467015" w14:textId="77777777" w:rsidR="00547B72" w:rsidRPr="000E342B" w:rsidRDefault="00547B72" w:rsidP="00630761">
            <w:pPr>
              <w:spacing w:before="0"/>
              <w:jc w:val="center"/>
            </w:pPr>
            <w:r w:rsidRPr="000E342B">
              <w:rPr>
                <w:lang w:eastAsia="ja-JP"/>
              </w:rPr>
              <w:t>$26,640</w:t>
            </w:r>
          </w:p>
        </w:tc>
        <w:tc>
          <w:tcPr>
            <w:tcW w:w="424" w:type="pct"/>
          </w:tcPr>
          <w:p w14:paraId="6946B071" w14:textId="77777777" w:rsidR="00547B72" w:rsidRPr="000E342B" w:rsidRDefault="00547B72" w:rsidP="00630761">
            <w:pPr>
              <w:spacing w:before="0"/>
              <w:jc w:val="center"/>
              <w:rPr>
                <w:lang w:eastAsia="ja-JP"/>
              </w:rPr>
            </w:pPr>
            <w:r w:rsidRPr="000E342B">
              <w:rPr>
                <w:lang w:eastAsia="ja-JP"/>
              </w:rPr>
              <w:t>300 pu</w:t>
            </w:r>
          </w:p>
          <w:p w14:paraId="57EBBE95"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09FB4AAD" w14:textId="77777777" w:rsidR="00547B72" w:rsidRPr="000E342B" w:rsidRDefault="00547B72" w:rsidP="00630761">
            <w:pPr>
              <w:spacing w:before="0"/>
              <w:jc w:val="center"/>
              <w:rPr>
                <w:lang w:eastAsia="ja-JP"/>
              </w:rPr>
            </w:pPr>
            <w:r w:rsidRPr="000E342B">
              <w:rPr>
                <w:lang w:eastAsia="ja-JP"/>
              </w:rPr>
              <w:t>-</w:t>
            </w:r>
          </w:p>
        </w:tc>
        <w:tc>
          <w:tcPr>
            <w:tcW w:w="491" w:type="pct"/>
          </w:tcPr>
          <w:p w14:paraId="086C7B95" w14:textId="77777777" w:rsidR="00547B72" w:rsidRPr="000E342B" w:rsidRDefault="00547B72" w:rsidP="00630761">
            <w:pPr>
              <w:spacing w:before="0"/>
              <w:jc w:val="center"/>
              <w:rPr>
                <w:lang w:eastAsia="ja-JP"/>
              </w:rPr>
            </w:pPr>
            <w:r w:rsidRPr="000E342B">
              <w:rPr>
                <w:lang w:eastAsia="ja-JP"/>
              </w:rPr>
              <w:t>-</w:t>
            </w:r>
          </w:p>
        </w:tc>
      </w:tr>
      <w:tr w:rsidR="00547B72" w:rsidRPr="000E342B" w14:paraId="0CFC0A58" w14:textId="77777777" w:rsidTr="00630761">
        <w:trPr>
          <w:cantSplit/>
          <w:trHeight w:val="281"/>
        </w:trPr>
        <w:tc>
          <w:tcPr>
            <w:tcW w:w="5000" w:type="pct"/>
            <w:gridSpan w:val="7"/>
            <w:shd w:val="clear" w:color="auto" w:fill="D9E2F3" w:themeFill="accent1" w:themeFillTint="33"/>
          </w:tcPr>
          <w:p w14:paraId="2569ECE2" w14:textId="77777777" w:rsidR="00547B72" w:rsidRPr="000E342B" w:rsidRDefault="00547B72" w:rsidP="00630761">
            <w:pPr>
              <w:spacing w:before="0"/>
              <w:rPr>
                <w:rFonts w:cstheme="minorHAnsi"/>
                <w:b/>
                <w:bCs/>
                <w:lang w:eastAsia="ja-JP"/>
              </w:rPr>
            </w:pPr>
            <w:r w:rsidRPr="000E342B">
              <w:rPr>
                <w:rFonts w:cstheme="minorHAnsi"/>
                <w:b/>
                <w:bCs/>
                <w:lang w:eastAsia="ja-JP"/>
              </w:rPr>
              <w:t>Chapter 4 – Managing biosecurity risks: conveyances</w:t>
            </w:r>
          </w:p>
          <w:p w14:paraId="6BB16CF8" w14:textId="77777777" w:rsidR="00547B72" w:rsidRPr="000E342B" w:rsidRDefault="00547B72" w:rsidP="00630761">
            <w:pPr>
              <w:spacing w:before="0"/>
              <w:rPr>
                <w:rFonts w:cstheme="minorHAnsi"/>
                <w:b/>
                <w:bCs/>
                <w:lang w:eastAsia="ja-JP"/>
              </w:rPr>
            </w:pPr>
            <w:r w:rsidRPr="000E342B">
              <w:rPr>
                <w:rFonts w:cstheme="minorHAnsi"/>
                <w:b/>
                <w:bCs/>
                <w:lang w:eastAsia="ja-JP"/>
              </w:rPr>
              <w:t>Part 2—Conveyances entering Australian territory etc.</w:t>
            </w:r>
          </w:p>
          <w:p w14:paraId="10AE6241" w14:textId="77777777" w:rsidR="00547B72" w:rsidRPr="000E342B" w:rsidRDefault="00547B72" w:rsidP="00630761">
            <w:pPr>
              <w:spacing w:before="0"/>
              <w:rPr>
                <w:lang w:eastAsia="ja-JP"/>
              </w:rPr>
            </w:pPr>
            <w:r w:rsidRPr="000E342B">
              <w:rPr>
                <w:rFonts w:cstheme="minorHAnsi"/>
                <w:b/>
                <w:bCs/>
                <w:lang w:eastAsia="ja-JP"/>
              </w:rPr>
              <w:t>Division 8 – Miscellaneous</w:t>
            </w:r>
          </w:p>
        </w:tc>
      </w:tr>
      <w:tr w:rsidR="00547B72" w:rsidRPr="000E342B" w14:paraId="6EEEBE3C" w14:textId="77777777" w:rsidTr="00630761">
        <w:trPr>
          <w:cantSplit/>
          <w:trHeight w:val="898"/>
        </w:trPr>
        <w:tc>
          <w:tcPr>
            <w:tcW w:w="354" w:type="pct"/>
            <w:shd w:val="clear" w:color="auto" w:fill="D9E2F3" w:themeFill="accent1" w:themeFillTint="33"/>
          </w:tcPr>
          <w:p w14:paraId="3C258452" w14:textId="77777777" w:rsidR="00547B72" w:rsidRPr="000E342B" w:rsidRDefault="00547B72" w:rsidP="00630761">
            <w:pPr>
              <w:spacing w:before="0"/>
              <w:rPr>
                <w:lang w:eastAsia="ja-JP"/>
              </w:rPr>
            </w:pPr>
            <w:r w:rsidRPr="000E342B">
              <w:rPr>
                <w:lang w:eastAsia="ja-JP"/>
              </w:rPr>
              <w:t>220</w:t>
            </w:r>
          </w:p>
        </w:tc>
        <w:tc>
          <w:tcPr>
            <w:tcW w:w="2444" w:type="pct"/>
          </w:tcPr>
          <w:p w14:paraId="06521A08" w14:textId="77777777" w:rsidR="00547B72" w:rsidRPr="000E342B" w:rsidRDefault="00547B72" w:rsidP="00630761">
            <w:pPr>
              <w:spacing w:before="0"/>
            </w:pPr>
            <w:r w:rsidRPr="000E342B">
              <w:t xml:space="preserve">Person in charge or the operator of an incoming aircraft or vessel that is subject to biosecurity control must provide information about biosecurity requirements to persons on board incoming aircraft or vessels </w:t>
            </w:r>
          </w:p>
        </w:tc>
        <w:tc>
          <w:tcPr>
            <w:tcW w:w="473" w:type="pct"/>
            <w:shd w:val="clear" w:color="auto" w:fill="D9E2F3" w:themeFill="accent1" w:themeFillTint="33"/>
          </w:tcPr>
          <w:p w14:paraId="16BD4906" w14:textId="77777777" w:rsidR="00547B72" w:rsidRPr="000E342B" w:rsidRDefault="00547B72" w:rsidP="00630761">
            <w:pPr>
              <w:spacing w:before="0"/>
            </w:pPr>
            <w:r w:rsidRPr="000E342B">
              <w:t>220(1)</w:t>
            </w:r>
          </w:p>
        </w:tc>
        <w:tc>
          <w:tcPr>
            <w:tcW w:w="384" w:type="pct"/>
            <w:shd w:val="clear" w:color="auto" w:fill="D9D9D9" w:themeFill="background1" w:themeFillShade="D9"/>
          </w:tcPr>
          <w:p w14:paraId="76A733C8" w14:textId="77777777" w:rsidR="00547B72" w:rsidRPr="000E342B" w:rsidRDefault="00547B72" w:rsidP="00630761">
            <w:pPr>
              <w:spacing w:before="0"/>
              <w:jc w:val="center"/>
            </w:pPr>
            <w:r w:rsidRPr="000E342B">
              <w:t>120 pu</w:t>
            </w:r>
          </w:p>
          <w:p w14:paraId="077A803D" w14:textId="77777777" w:rsidR="00547B72" w:rsidRPr="000E342B" w:rsidRDefault="00547B72" w:rsidP="00630761">
            <w:pPr>
              <w:spacing w:before="0"/>
              <w:jc w:val="center"/>
            </w:pPr>
            <w:r w:rsidRPr="000E342B">
              <w:rPr>
                <w:lang w:eastAsia="ja-JP"/>
              </w:rPr>
              <w:t>$26,640</w:t>
            </w:r>
          </w:p>
        </w:tc>
        <w:tc>
          <w:tcPr>
            <w:tcW w:w="424" w:type="pct"/>
          </w:tcPr>
          <w:p w14:paraId="01964BF4" w14:textId="77777777" w:rsidR="00547B72" w:rsidRPr="000E342B" w:rsidRDefault="00547B72" w:rsidP="00630761">
            <w:pPr>
              <w:spacing w:before="0"/>
              <w:jc w:val="center"/>
              <w:rPr>
                <w:lang w:eastAsia="ja-JP"/>
              </w:rPr>
            </w:pPr>
            <w:r w:rsidRPr="000E342B">
              <w:rPr>
                <w:lang w:eastAsia="ja-JP"/>
              </w:rPr>
              <w:t>300 pu</w:t>
            </w:r>
          </w:p>
          <w:p w14:paraId="7DEC6E0F"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72472BE9" w14:textId="77777777" w:rsidR="00547B72" w:rsidRPr="000E342B" w:rsidRDefault="00547B72" w:rsidP="00630761">
            <w:pPr>
              <w:spacing w:before="0"/>
              <w:jc w:val="center"/>
              <w:rPr>
                <w:lang w:eastAsia="ja-JP"/>
              </w:rPr>
            </w:pPr>
            <w:r w:rsidRPr="000E342B">
              <w:rPr>
                <w:lang w:eastAsia="ja-JP"/>
              </w:rPr>
              <w:t>-</w:t>
            </w:r>
          </w:p>
        </w:tc>
        <w:tc>
          <w:tcPr>
            <w:tcW w:w="491" w:type="pct"/>
          </w:tcPr>
          <w:p w14:paraId="2F6C75C4" w14:textId="77777777" w:rsidR="00547B72" w:rsidRPr="000E342B" w:rsidRDefault="00547B72" w:rsidP="00630761">
            <w:pPr>
              <w:spacing w:before="0"/>
              <w:jc w:val="center"/>
              <w:rPr>
                <w:lang w:eastAsia="ja-JP"/>
              </w:rPr>
            </w:pPr>
            <w:r w:rsidRPr="000E342B">
              <w:rPr>
                <w:lang w:eastAsia="ja-JP"/>
              </w:rPr>
              <w:t>-</w:t>
            </w:r>
          </w:p>
        </w:tc>
      </w:tr>
      <w:tr w:rsidR="00547B72" w:rsidRPr="000E342B" w14:paraId="7629BA5D" w14:textId="77777777" w:rsidTr="00630761">
        <w:trPr>
          <w:cantSplit/>
          <w:trHeight w:val="942"/>
        </w:trPr>
        <w:tc>
          <w:tcPr>
            <w:tcW w:w="354" w:type="pct"/>
            <w:shd w:val="clear" w:color="auto" w:fill="D9E2F3" w:themeFill="accent1" w:themeFillTint="33"/>
          </w:tcPr>
          <w:p w14:paraId="5805026D" w14:textId="77777777" w:rsidR="00547B72" w:rsidRPr="000E342B" w:rsidRDefault="00547B72" w:rsidP="00630761">
            <w:pPr>
              <w:spacing w:before="0"/>
              <w:rPr>
                <w:lang w:eastAsia="ja-JP"/>
              </w:rPr>
            </w:pPr>
            <w:r w:rsidRPr="000E342B">
              <w:rPr>
                <w:lang w:eastAsia="ja-JP"/>
              </w:rPr>
              <w:t>221</w:t>
            </w:r>
          </w:p>
        </w:tc>
        <w:tc>
          <w:tcPr>
            <w:tcW w:w="2444" w:type="pct"/>
          </w:tcPr>
          <w:p w14:paraId="408AD00C" w14:textId="77777777" w:rsidR="00547B72" w:rsidRDefault="00547B72" w:rsidP="00630761">
            <w:pPr>
              <w:spacing w:before="0"/>
            </w:pPr>
            <w:r w:rsidRPr="000E342B">
              <w:t>Person in charge of a vessel that is within Australian territory must ensure that the prescribed quarantine signal is displayed on the vessel in the circumstances and in the manner prescribed by the regulations.</w:t>
            </w:r>
          </w:p>
          <w:p w14:paraId="736761E8" w14:textId="77777777" w:rsidR="00E63B6B" w:rsidRDefault="00E63B6B" w:rsidP="00630761">
            <w:pPr>
              <w:spacing w:before="0"/>
            </w:pPr>
          </w:p>
          <w:p w14:paraId="5CC1ED2D" w14:textId="77777777" w:rsidR="00E63B6B" w:rsidRDefault="00E63B6B" w:rsidP="00630761">
            <w:pPr>
              <w:spacing w:before="0"/>
            </w:pPr>
          </w:p>
          <w:p w14:paraId="30204C07" w14:textId="77777777" w:rsidR="00E63B6B" w:rsidRDefault="00E63B6B" w:rsidP="00630761">
            <w:pPr>
              <w:spacing w:before="0"/>
            </w:pPr>
          </w:p>
          <w:p w14:paraId="533AE889" w14:textId="16B4C618" w:rsidR="00E63B6B" w:rsidRPr="000E342B" w:rsidRDefault="00E63B6B" w:rsidP="00630761">
            <w:pPr>
              <w:spacing w:before="0"/>
            </w:pPr>
          </w:p>
        </w:tc>
        <w:tc>
          <w:tcPr>
            <w:tcW w:w="473" w:type="pct"/>
            <w:shd w:val="clear" w:color="auto" w:fill="D9E2F3" w:themeFill="accent1" w:themeFillTint="33"/>
          </w:tcPr>
          <w:p w14:paraId="15F7C0EA" w14:textId="77777777" w:rsidR="00547B72" w:rsidRPr="000E342B" w:rsidRDefault="00547B72" w:rsidP="00630761">
            <w:pPr>
              <w:spacing w:before="0"/>
            </w:pPr>
            <w:r w:rsidRPr="000E342B">
              <w:t>221(3)</w:t>
            </w:r>
          </w:p>
        </w:tc>
        <w:tc>
          <w:tcPr>
            <w:tcW w:w="384" w:type="pct"/>
            <w:shd w:val="clear" w:color="auto" w:fill="D9D9D9" w:themeFill="background1" w:themeFillShade="D9"/>
          </w:tcPr>
          <w:p w14:paraId="5CB08F1F" w14:textId="77777777" w:rsidR="00547B72" w:rsidRPr="000E342B" w:rsidRDefault="00547B72" w:rsidP="00630761">
            <w:pPr>
              <w:spacing w:before="0"/>
              <w:jc w:val="center"/>
            </w:pPr>
            <w:r w:rsidRPr="000E342B">
              <w:t>-</w:t>
            </w:r>
          </w:p>
        </w:tc>
        <w:tc>
          <w:tcPr>
            <w:tcW w:w="424" w:type="pct"/>
          </w:tcPr>
          <w:p w14:paraId="7C6F885A"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5DCEDAB5" w14:textId="77777777" w:rsidR="00547B72" w:rsidRPr="000E342B" w:rsidRDefault="00547B72" w:rsidP="00630761">
            <w:pPr>
              <w:spacing w:before="0"/>
              <w:jc w:val="center"/>
            </w:pPr>
            <w:r w:rsidRPr="000E342B">
              <w:t>Strict liability</w:t>
            </w:r>
          </w:p>
          <w:p w14:paraId="63A92EE3" w14:textId="77777777" w:rsidR="00547B72" w:rsidRPr="000E342B" w:rsidRDefault="00547B72" w:rsidP="00630761">
            <w:pPr>
              <w:spacing w:before="0"/>
              <w:jc w:val="center"/>
            </w:pPr>
            <w:r w:rsidRPr="000E342B">
              <w:t>50 pu</w:t>
            </w:r>
          </w:p>
          <w:p w14:paraId="6C78B233" w14:textId="77777777" w:rsidR="00547B72" w:rsidRPr="000E342B" w:rsidRDefault="00547B72" w:rsidP="00630761">
            <w:pPr>
              <w:spacing w:before="0"/>
              <w:jc w:val="center"/>
              <w:rPr>
                <w:lang w:eastAsia="ja-JP"/>
              </w:rPr>
            </w:pPr>
            <w:r w:rsidRPr="000E342B">
              <w:t>$11,100</w:t>
            </w:r>
          </w:p>
        </w:tc>
        <w:tc>
          <w:tcPr>
            <w:tcW w:w="491" w:type="pct"/>
          </w:tcPr>
          <w:p w14:paraId="6D593268" w14:textId="77777777" w:rsidR="00547B72" w:rsidRPr="000E342B" w:rsidRDefault="00547B72" w:rsidP="00630761">
            <w:pPr>
              <w:spacing w:before="0"/>
              <w:jc w:val="center"/>
            </w:pPr>
            <w:r w:rsidRPr="000E342B">
              <w:t>Strict liability</w:t>
            </w:r>
          </w:p>
          <w:p w14:paraId="11EF9E92" w14:textId="77777777" w:rsidR="00547B72" w:rsidRPr="000E342B" w:rsidRDefault="00547B72" w:rsidP="00630761">
            <w:pPr>
              <w:spacing w:before="0"/>
              <w:jc w:val="center"/>
              <w:rPr>
                <w:lang w:eastAsia="ja-JP"/>
              </w:rPr>
            </w:pPr>
            <w:r w:rsidRPr="000E342B">
              <w:rPr>
                <w:lang w:eastAsia="ja-JP"/>
              </w:rPr>
              <w:t>60 pu</w:t>
            </w:r>
          </w:p>
          <w:p w14:paraId="30A2F1F9" w14:textId="77777777" w:rsidR="00547B72" w:rsidRPr="000E342B" w:rsidRDefault="00547B72" w:rsidP="00630761">
            <w:pPr>
              <w:spacing w:before="0"/>
              <w:jc w:val="center"/>
              <w:rPr>
                <w:lang w:eastAsia="ja-JP"/>
              </w:rPr>
            </w:pPr>
            <w:r w:rsidRPr="000E342B">
              <w:rPr>
                <w:lang w:eastAsia="ja-JP"/>
              </w:rPr>
              <w:t>$13,320</w:t>
            </w:r>
          </w:p>
        </w:tc>
      </w:tr>
      <w:tr w:rsidR="00547B72" w:rsidRPr="000E342B" w14:paraId="0EAB6FC4" w14:textId="77777777" w:rsidTr="00630761">
        <w:trPr>
          <w:cantSplit/>
          <w:trHeight w:val="421"/>
        </w:trPr>
        <w:tc>
          <w:tcPr>
            <w:tcW w:w="5000" w:type="pct"/>
            <w:gridSpan w:val="7"/>
            <w:shd w:val="clear" w:color="auto" w:fill="D9E2F3" w:themeFill="accent1" w:themeFillTint="33"/>
          </w:tcPr>
          <w:p w14:paraId="39DF8AFB" w14:textId="77777777" w:rsidR="00547B72" w:rsidRPr="000E342B" w:rsidRDefault="00547B72" w:rsidP="00630761">
            <w:pPr>
              <w:spacing w:before="0"/>
              <w:rPr>
                <w:rFonts w:cstheme="minorHAnsi"/>
                <w:b/>
                <w:bCs/>
                <w:lang w:eastAsia="ja-JP"/>
              </w:rPr>
            </w:pPr>
            <w:r w:rsidRPr="000E342B">
              <w:rPr>
                <w:rFonts w:cstheme="minorHAnsi"/>
                <w:b/>
                <w:bCs/>
                <w:lang w:eastAsia="ja-JP"/>
              </w:rPr>
              <w:lastRenderedPageBreak/>
              <w:t>Chapter 4 – Managing biosecurity risks: conveyances</w:t>
            </w:r>
          </w:p>
          <w:p w14:paraId="4FE38923" w14:textId="77777777" w:rsidR="00547B72" w:rsidRPr="000E342B" w:rsidRDefault="00547B72" w:rsidP="00630761">
            <w:pPr>
              <w:spacing w:before="0"/>
              <w:rPr>
                <w:rFonts w:cstheme="minorHAnsi"/>
                <w:b/>
                <w:bCs/>
                <w:lang w:eastAsia="ja-JP"/>
              </w:rPr>
            </w:pPr>
            <w:r w:rsidRPr="000E342B">
              <w:rPr>
                <w:rFonts w:cstheme="minorHAnsi"/>
                <w:b/>
                <w:bCs/>
                <w:lang w:eastAsia="ja-JP"/>
              </w:rPr>
              <w:t>Part 4—Entry points for incoming aircraft and vessels</w:t>
            </w:r>
          </w:p>
          <w:p w14:paraId="6710E844" w14:textId="77777777" w:rsidR="00547B72" w:rsidRPr="000E342B" w:rsidRDefault="00547B72" w:rsidP="00630761">
            <w:pPr>
              <w:spacing w:before="0"/>
              <w:rPr>
                <w:lang w:eastAsia="ja-JP"/>
              </w:rPr>
            </w:pPr>
            <w:r w:rsidRPr="000E342B">
              <w:rPr>
                <w:rFonts w:cstheme="minorHAnsi"/>
                <w:b/>
                <w:bCs/>
                <w:lang w:eastAsia="ja-JP"/>
              </w:rPr>
              <w:t>Division 2—Entry points for aircraft that intend to land in Australian territory</w:t>
            </w:r>
          </w:p>
        </w:tc>
      </w:tr>
      <w:tr w:rsidR="00547B72" w:rsidRPr="000E342B" w14:paraId="09966957" w14:textId="77777777" w:rsidTr="00E63B6B">
        <w:trPr>
          <w:cantSplit/>
          <w:trHeight w:val="346"/>
        </w:trPr>
        <w:tc>
          <w:tcPr>
            <w:tcW w:w="354" w:type="pct"/>
            <w:vMerge w:val="restart"/>
            <w:shd w:val="clear" w:color="auto" w:fill="D9E2F3" w:themeFill="accent1" w:themeFillTint="33"/>
          </w:tcPr>
          <w:p w14:paraId="61EB7DBB" w14:textId="77777777" w:rsidR="00547B72" w:rsidRPr="000E342B" w:rsidRDefault="00547B72" w:rsidP="00630761">
            <w:pPr>
              <w:spacing w:before="0"/>
              <w:rPr>
                <w:lang w:eastAsia="ja-JP"/>
              </w:rPr>
            </w:pPr>
            <w:r w:rsidRPr="000E342B">
              <w:rPr>
                <w:lang w:eastAsia="ja-JP"/>
              </w:rPr>
              <w:t>237</w:t>
            </w:r>
          </w:p>
        </w:tc>
        <w:tc>
          <w:tcPr>
            <w:tcW w:w="2444" w:type="pct"/>
            <w:vMerge w:val="restart"/>
          </w:tcPr>
          <w:p w14:paraId="22434C5F" w14:textId="77777777" w:rsidR="00547B72" w:rsidRPr="000E342B" w:rsidRDefault="00547B72" w:rsidP="00630761">
            <w:pPr>
              <w:spacing w:before="0"/>
            </w:pPr>
            <w:r w:rsidRPr="000E342B">
              <w:t>Aircraft that is subject to biosecurity control must not land at a landing place in Australian territory that is not a first point of entry for the aircraft unless</w:t>
            </w:r>
            <w:r>
              <w:t xml:space="preserve"> </w:t>
            </w:r>
            <w:r w:rsidRPr="000E342B">
              <w:t xml:space="preserve">if a direction or permission has been given for the </w:t>
            </w:r>
            <w:r>
              <w:t>aircraft</w:t>
            </w:r>
            <w:r w:rsidRPr="000E342B">
              <w:t xml:space="preserve"> to </w:t>
            </w:r>
            <w:r>
              <w:t>land</w:t>
            </w:r>
            <w:r w:rsidRPr="000E342B">
              <w:t xml:space="preserve"> at </w:t>
            </w:r>
            <w:r>
              <w:t>that landing place</w:t>
            </w:r>
            <w:r w:rsidRPr="000E342B">
              <w:t>.</w:t>
            </w:r>
          </w:p>
        </w:tc>
        <w:tc>
          <w:tcPr>
            <w:tcW w:w="473" w:type="pct"/>
            <w:shd w:val="clear" w:color="auto" w:fill="D9E2F3" w:themeFill="accent1" w:themeFillTint="33"/>
          </w:tcPr>
          <w:p w14:paraId="0AD59F66" w14:textId="77777777" w:rsidR="00547B72" w:rsidRPr="000E342B" w:rsidRDefault="00547B72" w:rsidP="00630761">
            <w:pPr>
              <w:spacing w:before="0"/>
            </w:pPr>
            <w:r w:rsidRPr="000E342B">
              <w:t>237(2)</w:t>
            </w:r>
          </w:p>
        </w:tc>
        <w:tc>
          <w:tcPr>
            <w:tcW w:w="384" w:type="pct"/>
            <w:shd w:val="clear" w:color="auto" w:fill="D9D9D9" w:themeFill="background1" w:themeFillShade="D9"/>
          </w:tcPr>
          <w:p w14:paraId="4050B916" w14:textId="77777777" w:rsidR="00547B72" w:rsidRPr="000E342B" w:rsidRDefault="00547B72" w:rsidP="00630761">
            <w:pPr>
              <w:spacing w:before="0"/>
              <w:jc w:val="center"/>
            </w:pPr>
            <w:r w:rsidRPr="000E342B">
              <w:t>-</w:t>
            </w:r>
          </w:p>
        </w:tc>
        <w:tc>
          <w:tcPr>
            <w:tcW w:w="424" w:type="pct"/>
          </w:tcPr>
          <w:p w14:paraId="73D96133"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7572C40E" w14:textId="77777777" w:rsidR="00547B72" w:rsidRPr="000E342B" w:rsidRDefault="00547B72" w:rsidP="00630761">
            <w:pPr>
              <w:spacing w:before="0"/>
              <w:jc w:val="center"/>
              <w:rPr>
                <w:lang w:eastAsia="ja-JP"/>
              </w:rPr>
            </w:pPr>
            <w:r w:rsidRPr="000E342B">
              <w:rPr>
                <w:lang w:eastAsia="ja-JP"/>
              </w:rPr>
              <w:t>300 pu</w:t>
            </w:r>
          </w:p>
          <w:p w14:paraId="4ED847E5" w14:textId="77777777" w:rsidR="00547B72" w:rsidRPr="000E342B" w:rsidRDefault="00547B72" w:rsidP="00630761">
            <w:pPr>
              <w:spacing w:before="0"/>
              <w:jc w:val="center"/>
            </w:pPr>
            <w:r w:rsidRPr="000E342B">
              <w:rPr>
                <w:lang w:eastAsia="ja-JP"/>
              </w:rPr>
              <w:t>$66,600</w:t>
            </w:r>
          </w:p>
        </w:tc>
        <w:tc>
          <w:tcPr>
            <w:tcW w:w="491" w:type="pct"/>
          </w:tcPr>
          <w:p w14:paraId="5A4AEAF1"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0723F5B9"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6CBC1A20" w14:textId="77777777" w:rsidTr="00E63B6B">
        <w:trPr>
          <w:cantSplit/>
          <w:trHeight w:val="241"/>
        </w:trPr>
        <w:tc>
          <w:tcPr>
            <w:tcW w:w="354" w:type="pct"/>
            <w:vMerge/>
            <w:shd w:val="clear" w:color="auto" w:fill="D9E2F3" w:themeFill="accent1" w:themeFillTint="33"/>
          </w:tcPr>
          <w:p w14:paraId="6A53EBBF" w14:textId="77777777" w:rsidR="00547B72" w:rsidRPr="000E342B" w:rsidRDefault="00547B72" w:rsidP="00630761">
            <w:pPr>
              <w:spacing w:before="0"/>
              <w:rPr>
                <w:lang w:eastAsia="ja-JP"/>
              </w:rPr>
            </w:pPr>
          </w:p>
        </w:tc>
        <w:tc>
          <w:tcPr>
            <w:tcW w:w="2444" w:type="pct"/>
            <w:vMerge/>
          </w:tcPr>
          <w:p w14:paraId="3087E09E" w14:textId="77777777" w:rsidR="00547B72" w:rsidRPr="000E342B" w:rsidRDefault="00547B72" w:rsidP="00630761">
            <w:pPr>
              <w:spacing w:before="0"/>
            </w:pPr>
          </w:p>
        </w:tc>
        <w:tc>
          <w:tcPr>
            <w:tcW w:w="473" w:type="pct"/>
            <w:shd w:val="clear" w:color="auto" w:fill="D9E2F3" w:themeFill="accent1" w:themeFillTint="33"/>
          </w:tcPr>
          <w:p w14:paraId="67C0EC41" w14:textId="77777777" w:rsidR="00547B72" w:rsidRPr="000E342B" w:rsidRDefault="00547B72" w:rsidP="00630761">
            <w:pPr>
              <w:spacing w:before="0"/>
            </w:pPr>
            <w:r w:rsidRPr="000E342B">
              <w:t>237(3)</w:t>
            </w:r>
          </w:p>
        </w:tc>
        <w:tc>
          <w:tcPr>
            <w:tcW w:w="384" w:type="pct"/>
            <w:shd w:val="clear" w:color="auto" w:fill="D9D9D9" w:themeFill="background1" w:themeFillShade="D9"/>
          </w:tcPr>
          <w:p w14:paraId="6F34782A" w14:textId="77777777" w:rsidR="00547B72" w:rsidRPr="000E342B" w:rsidRDefault="00547B72" w:rsidP="00630761">
            <w:pPr>
              <w:spacing w:before="0"/>
              <w:jc w:val="center"/>
            </w:pPr>
            <w:r w:rsidRPr="000E342B">
              <w:t>-</w:t>
            </w:r>
          </w:p>
        </w:tc>
        <w:tc>
          <w:tcPr>
            <w:tcW w:w="424" w:type="pct"/>
          </w:tcPr>
          <w:p w14:paraId="4AF2DB71"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61D96560" w14:textId="77777777" w:rsidR="00547B72" w:rsidRPr="000E342B" w:rsidRDefault="00547B72" w:rsidP="00630761">
            <w:pPr>
              <w:spacing w:before="0"/>
              <w:jc w:val="center"/>
              <w:rPr>
                <w:lang w:eastAsia="ja-JP"/>
              </w:rPr>
            </w:pPr>
            <w:r w:rsidRPr="000E342B">
              <w:rPr>
                <w:lang w:eastAsia="ja-JP"/>
              </w:rPr>
              <w:t>300 pu</w:t>
            </w:r>
          </w:p>
          <w:p w14:paraId="6C130038" w14:textId="77777777" w:rsidR="00547B72" w:rsidRPr="000E342B" w:rsidRDefault="00547B72" w:rsidP="00630761">
            <w:pPr>
              <w:spacing w:before="0"/>
              <w:jc w:val="center"/>
              <w:rPr>
                <w:lang w:eastAsia="ja-JP"/>
              </w:rPr>
            </w:pPr>
            <w:r w:rsidRPr="000E342B">
              <w:rPr>
                <w:lang w:eastAsia="ja-JP"/>
              </w:rPr>
              <w:t>$66,600</w:t>
            </w:r>
          </w:p>
        </w:tc>
        <w:tc>
          <w:tcPr>
            <w:tcW w:w="491" w:type="pct"/>
          </w:tcPr>
          <w:p w14:paraId="2FFC5736"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7EAA779F"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54E196DB" w14:textId="77777777" w:rsidTr="00E63B6B">
        <w:trPr>
          <w:cantSplit/>
          <w:trHeight w:val="574"/>
        </w:trPr>
        <w:tc>
          <w:tcPr>
            <w:tcW w:w="354" w:type="pct"/>
            <w:vMerge/>
            <w:shd w:val="clear" w:color="auto" w:fill="D9E2F3" w:themeFill="accent1" w:themeFillTint="33"/>
          </w:tcPr>
          <w:p w14:paraId="07433823" w14:textId="77777777" w:rsidR="00547B72" w:rsidRPr="000E342B" w:rsidRDefault="00547B72" w:rsidP="00630761">
            <w:pPr>
              <w:spacing w:before="0"/>
              <w:rPr>
                <w:lang w:eastAsia="ja-JP"/>
              </w:rPr>
            </w:pPr>
          </w:p>
        </w:tc>
        <w:tc>
          <w:tcPr>
            <w:tcW w:w="2444" w:type="pct"/>
            <w:vMerge/>
          </w:tcPr>
          <w:p w14:paraId="38CD4998" w14:textId="77777777" w:rsidR="00547B72" w:rsidRPr="000E342B" w:rsidRDefault="00547B72" w:rsidP="00630761">
            <w:pPr>
              <w:spacing w:before="0"/>
            </w:pPr>
          </w:p>
        </w:tc>
        <w:tc>
          <w:tcPr>
            <w:tcW w:w="473" w:type="pct"/>
            <w:shd w:val="clear" w:color="auto" w:fill="D9E2F3" w:themeFill="accent1" w:themeFillTint="33"/>
          </w:tcPr>
          <w:p w14:paraId="368D0C82" w14:textId="77777777" w:rsidR="00547B72" w:rsidRPr="000E342B" w:rsidRDefault="00547B72" w:rsidP="00630761">
            <w:pPr>
              <w:spacing w:before="0"/>
            </w:pPr>
            <w:r w:rsidRPr="000E342B">
              <w:t>237(4)</w:t>
            </w:r>
          </w:p>
        </w:tc>
        <w:tc>
          <w:tcPr>
            <w:tcW w:w="384" w:type="pct"/>
            <w:shd w:val="clear" w:color="auto" w:fill="D9D9D9" w:themeFill="background1" w:themeFillShade="D9"/>
          </w:tcPr>
          <w:p w14:paraId="5C25AB38" w14:textId="77777777" w:rsidR="00547B72" w:rsidRPr="000E342B" w:rsidRDefault="00547B72" w:rsidP="00630761">
            <w:pPr>
              <w:spacing w:before="0"/>
              <w:jc w:val="center"/>
            </w:pPr>
            <w:r w:rsidRPr="000E342B">
              <w:t>-</w:t>
            </w:r>
          </w:p>
        </w:tc>
        <w:tc>
          <w:tcPr>
            <w:tcW w:w="424" w:type="pct"/>
          </w:tcPr>
          <w:p w14:paraId="2C2674F0"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5A60DCC0" w14:textId="77777777" w:rsidR="00547B72" w:rsidRPr="000E342B" w:rsidRDefault="00547B72" w:rsidP="00630761">
            <w:pPr>
              <w:spacing w:before="0"/>
              <w:jc w:val="center"/>
              <w:rPr>
                <w:lang w:eastAsia="ja-JP"/>
              </w:rPr>
            </w:pPr>
            <w:r w:rsidRPr="000E342B">
              <w:rPr>
                <w:lang w:eastAsia="ja-JP"/>
              </w:rPr>
              <w:t>300 pu</w:t>
            </w:r>
          </w:p>
          <w:p w14:paraId="5101891E" w14:textId="77777777" w:rsidR="00547B72" w:rsidRPr="000E342B" w:rsidRDefault="00547B72" w:rsidP="00630761">
            <w:pPr>
              <w:spacing w:before="0"/>
              <w:jc w:val="center"/>
              <w:rPr>
                <w:lang w:eastAsia="ja-JP"/>
              </w:rPr>
            </w:pPr>
            <w:r w:rsidRPr="000E342B">
              <w:rPr>
                <w:lang w:eastAsia="ja-JP"/>
              </w:rPr>
              <w:t>$66,600</w:t>
            </w:r>
          </w:p>
        </w:tc>
        <w:tc>
          <w:tcPr>
            <w:tcW w:w="491" w:type="pct"/>
          </w:tcPr>
          <w:p w14:paraId="42F615CC"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75AEFB0A"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690506F7" w14:textId="77777777" w:rsidTr="00E63B6B">
        <w:trPr>
          <w:cantSplit/>
          <w:trHeight w:val="554"/>
        </w:trPr>
        <w:tc>
          <w:tcPr>
            <w:tcW w:w="354" w:type="pct"/>
            <w:vMerge/>
            <w:shd w:val="clear" w:color="auto" w:fill="D9E2F3" w:themeFill="accent1" w:themeFillTint="33"/>
          </w:tcPr>
          <w:p w14:paraId="6D6542DF" w14:textId="77777777" w:rsidR="00547B72" w:rsidRPr="000E342B" w:rsidRDefault="00547B72" w:rsidP="00630761">
            <w:pPr>
              <w:spacing w:before="0"/>
              <w:rPr>
                <w:lang w:eastAsia="ja-JP"/>
              </w:rPr>
            </w:pPr>
          </w:p>
        </w:tc>
        <w:tc>
          <w:tcPr>
            <w:tcW w:w="2444" w:type="pct"/>
            <w:vMerge/>
          </w:tcPr>
          <w:p w14:paraId="60C353C1" w14:textId="77777777" w:rsidR="00547B72" w:rsidRPr="000E342B" w:rsidRDefault="00547B72" w:rsidP="00630761">
            <w:pPr>
              <w:spacing w:before="0"/>
            </w:pPr>
          </w:p>
        </w:tc>
        <w:tc>
          <w:tcPr>
            <w:tcW w:w="473" w:type="pct"/>
            <w:shd w:val="clear" w:color="auto" w:fill="D9E2F3" w:themeFill="accent1" w:themeFillTint="33"/>
          </w:tcPr>
          <w:p w14:paraId="4070FEEF" w14:textId="77777777" w:rsidR="00547B72" w:rsidRPr="000E342B" w:rsidRDefault="00547B72" w:rsidP="00630761">
            <w:pPr>
              <w:spacing w:before="0"/>
            </w:pPr>
            <w:r w:rsidRPr="000E342B">
              <w:t>237(5)</w:t>
            </w:r>
          </w:p>
        </w:tc>
        <w:tc>
          <w:tcPr>
            <w:tcW w:w="384" w:type="pct"/>
            <w:shd w:val="clear" w:color="auto" w:fill="D9D9D9" w:themeFill="background1" w:themeFillShade="D9"/>
          </w:tcPr>
          <w:p w14:paraId="49F0FF46" w14:textId="77777777" w:rsidR="00547B72" w:rsidRPr="000E342B" w:rsidRDefault="00547B72" w:rsidP="00630761">
            <w:pPr>
              <w:spacing w:before="0"/>
              <w:jc w:val="center"/>
            </w:pPr>
            <w:r w:rsidRPr="000E342B">
              <w:t>120 pu</w:t>
            </w:r>
          </w:p>
          <w:p w14:paraId="3D7E0236" w14:textId="77777777" w:rsidR="00547B72" w:rsidRPr="000E342B" w:rsidRDefault="00547B72" w:rsidP="00630761">
            <w:pPr>
              <w:spacing w:before="0"/>
              <w:jc w:val="center"/>
            </w:pPr>
            <w:r w:rsidRPr="000E342B">
              <w:rPr>
                <w:lang w:eastAsia="ja-JP"/>
              </w:rPr>
              <w:t>$26,640</w:t>
            </w:r>
          </w:p>
        </w:tc>
        <w:tc>
          <w:tcPr>
            <w:tcW w:w="424" w:type="pct"/>
          </w:tcPr>
          <w:p w14:paraId="2627AD08" w14:textId="77777777" w:rsidR="00547B72" w:rsidRPr="000E342B" w:rsidRDefault="00547B72" w:rsidP="00630761">
            <w:pPr>
              <w:spacing w:before="0"/>
              <w:jc w:val="center"/>
              <w:rPr>
                <w:lang w:eastAsia="ja-JP"/>
              </w:rPr>
            </w:pPr>
            <w:r w:rsidRPr="000E342B">
              <w:rPr>
                <w:lang w:eastAsia="ja-JP"/>
              </w:rPr>
              <w:t>300 pu</w:t>
            </w:r>
          </w:p>
          <w:p w14:paraId="5B25D675"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55A13C71" w14:textId="77777777" w:rsidR="00547B72" w:rsidRPr="000E342B" w:rsidRDefault="00547B72" w:rsidP="00630761">
            <w:pPr>
              <w:spacing w:before="0"/>
              <w:jc w:val="center"/>
              <w:rPr>
                <w:lang w:eastAsia="ja-JP"/>
              </w:rPr>
            </w:pPr>
            <w:r w:rsidRPr="000E342B">
              <w:rPr>
                <w:lang w:eastAsia="ja-JP"/>
              </w:rPr>
              <w:t>-</w:t>
            </w:r>
          </w:p>
        </w:tc>
        <w:tc>
          <w:tcPr>
            <w:tcW w:w="491" w:type="pct"/>
          </w:tcPr>
          <w:p w14:paraId="25989125" w14:textId="77777777" w:rsidR="00547B72" w:rsidRPr="000E342B" w:rsidRDefault="00547B72" w:rsidP="00630761">
            <w:pPr>
              <w:spacing w:before="0"/>
              <w:jc w:val="center"/>
              <w:rPr>
                <w:lang w:eastAsia="ja-JP"/>
              </w:rPr>
            </w:pPr>
            <w:r w:rsidRPr="000E342B">
              <w:rPr>
                <w:lang w:eastAsia="ja-JP"/>
              </w:rPr>
              <w:t>-</w:t>
            </w:r>
          </w:p>
        </w:tc>
      </w:tr>
      <w:tr w:rsidR="00547B72" w:rsidRPr="000E342B" w14:paraId="1C499892" w14:textId="77777777" w:rsidTr="00630761">
        <w:trPr>
          <w:cantSplit/>
          <w:trHeight w:val="490"/>
        </w:trPr>
        <w:tc>
          <w:tcPr>
            <w:tcW w:w="354" w:type="pct"/>
            <w:vMerge w:val="restart"/>
            <w:shd w:val="clear" w:color="auto" w:fill="D9E2F3" w:themeFill="accent1" w:themeFillTint="33"/>
          </w:tcPr>
          <w:p w14:paraId="00E9195C" w14:textId="77777777" w:rsidR="00547B72" w:rsidRPr="000E342B" w:rsidRDefault="00547B72" w:rsidP="00630761">
            <w:pPr>
              <w:spacing w:before="0"/>
              <w:rPr>
                <w:lang w:eastAsia="ja-JP"/>
              </w:rPr>
            </w:pPr>
            <w:r w:rsidRPr="000E342B">
              <w:rPr>
                <w:lang w:eastAsia="ja-JP"/>
              </w:rPr>
              <w:t>238</w:t>
            </w:r>
          </w:p>
        </w:tc>
        <w:tc>
          <w:tcPr>
            <w:tcW w:w="2444" w:type="pct"/>
            <w:vMerge w:val="restart"/>
          </w:tcPr>
          <w:p w14:paraId="097E99EB" w14:textId="77777777" w:rsidR="00547B72" w:rsidRPr="000E342B" w:rsidRDefault="00547B72" w:rsidP="00630761">
            <w:pPr>
              <w:spacing w:before="0"/>
            </w:pPr>
            <w:r w:rsidRPr="000E342B">
              <w:t>Aircraft that is subject to biosecurity control must be brought to relevant biosecurity entry point (if any) at first point of entry.</w:t>
            </w:r>
          </w:p>
        </w:tc>
        <w:tc>
          <w:tcPr>
            <w:tcW w:w="473" w:type="pct"/>
            <w:shd w:val="clear" w:color="auto" w:fill="D9E2F3" w:themeFill="accent1" w:themeFillTint="33"/>
          </w:tcPr>
          <w:p w14:paraId="58E38863" w14:textId="77777777" w:rsidR="00547B72" w:rsidRPr="000E342B" w:rsidRDefault="00547B72" w:rsidP="00630761">
            <w:pPr>
              <w:spacing w:before="0"/>
            </w:pPr>
            <w:r w:rsidRPr="000E342B">
              <w:t>238(2)</w:t>
            </w:r>
          </w:p>
        </w:tc>
        <w:tc>
          <w:tcPr>
            <w:tcW w:w="384" w:type="pct"/>
            <w:shd w:val="clear" w:color="auto" w:fill="D9D9D9" w:themeFill="background1" w:themeFillShade="D9"/>
          </w:tcPr>
          <w:p w14:paraId="2BF43644" w14:textId="77777777" w:rsidR="00547B72" w:rsidRPr="000E342B" w:rsidRDefault="00547B72" w:rsidP="00630761">
            <w:pPr>
              <w:spacing w:before="0"/>
              <w:jc w:val="center"/>
            </w:pPr>
            <w:r w:rsidRPr="000E342B">
              <w:t>-</w:t>
            </w:r>
          </w:p>
        </w:tc>
        <w:tc>
          <w:tcPr>
            <w:tcW w:w="424" w:type="pct"/>
          </w:tcPr>
          <w:p w14:paraId="52D286E6"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718E083C" w14:textId="77777777" w:rsidR="00547B72" w:rsidRPr="000E342B" w:rsidRDefault="00547B72" w:rsidP="00630761">
            <w:pPr>
              <w:spacing w:before="0"/>
              <w:jc w:val="center"/>
              <w:rPr>
                <w:lang w:eastAsia="ja-JP"/>
              </w:rPr>
            </w:pPr>
            <w:r w:rsidRPr="000E342B">
              <w:rPr>
                <w:lang w:eastAsia="ja-JP"/>
              </w:rPr>
              <w:t>300 pu</w:t>
            </w:r>
          </w:p>
          <w:p w14:paraId="70DEC81A" w14:textId="77777777" w:rsidR="00547B72" w:rsidRPr="000E342B" w:rsidRDefault="00547B72" w:rsidP="00630761">
            <w:pPr>
              <w:spacing w:before="0"/>
              <w:jc w:val="center"/>
              <w:rPr>
                <w:lang w:eastAsia="ja-JP"/>
              </w:rPr>
            </w:pPr>
            <w:r w:rsidRPr="000E342B">
              <w:rPr>
                <w:lang w:eastAsia="ja-JP"/>
              </w:rPr>
              <w:t>$66,600</w:t>
            </w:r>
          </w:p>
        </w:tc>
        <w:tc>
          <w:tcPr>
            <w:tcW w:w="491" w:type="pct"/>
          </w:tcPr>
          <w:p w14:paraId="2DAF7346"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3EE61893"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46F66E52" w14:textId="77777777" w:rsidTr="00630761">
        <w:trPr>
          <w:cantSplit/>
          <w:trHeight w:val="317"/>
        </w:trPr>
        <w:tc>
          <w:tcPr>
            <w:tcW w:w="354" w:type="pct"/>
            <w:vMerge/>
            <w:shd w:val="clear" w:color="auto" w:fill="D9E2F3" w:themeFill="accent1" w:themeFillTint="33"/>
          </w:tcPr>
          <w:p w14:paraId="4E6ED25C" w14:textId="77777777" w:rsidR="00547B72" w:rsidRPr="000E342B" w:rsidRDefault="00547B72" w:rsidP="00630761">
            <w:pPr>
              <w:spacing w:before="0"/>
              <w:rPr>
                <w:lang w:eastAsia="ja-JP"/>
              </w:rPr>
            </w:pPr>
          </w:p>
        </w:tc>
        <w:tc>
          <w:tcPr>
            <w:tcW w:w="2444" w:type="pct"/>
            <w:vMerge/>
          </w:tcPr>
          <w:p w14:paraId="0C88EB8A" w14:textId="77777777" w:rsidR="00547B72" w:rsidRPr="000E342B" w:rsidRDefault="00547B72" w:rsidP="00630761">
            <w:pPr>
              <w:spacing w:before="0"/>
            </w:pPr>
          </w:p>
        </w:tc>
        <w:tc>
          <w:tcPr>
            <w:tcW w:w="473" w:type="pct"/>
            <w:shd w:val="clear" w:color="auto" w:fill="D9E2F3" w:themeFill="accent1" w:themeFillTint="33"/>
          </w:tcPr>
          <w:p w14:paraId="7BC0D7FC" w14:textId="77777777" w:rsidR="00547B72" w:rsidRPr="000E342B" w:rsidRDefault="00547B72" w:rsidP="00630761">
            <w:pPr>
              <w:spacing w:before="0"/>
            </w:pPr>
            <w:r w:rsidRPr="000E342B">
              <w:t>238(3)</w:t>
            </w:r>
          </w:p>
        </w:tc>
        <w:tc>
          <w:tcPr>
            <w:tcW w:w="384" w:type="pct"/>
            <w:shd w:val="clear" w:color="auto" w:fill="D9D9D9" w:themeFill="background1" w:themeFillShade="D9"/>
          </w:tcPr>
          <w:p w14:paraId="302AC9FF" w14:textId="77777777" w:rsidR="00547B72" w:rsidRPr="000E342B" w:rsidRDefault="00547B72" w:rsidP="00630761">
            <w:pPr>
              <w:spacing w:before="0"/>
              <w:jc w:val="center"/>
            </w:pPr>
            <w:r w:rsidRPr="000E342B">
              <w:t>-</w:t>
            </w:r>
          </w:p>
        </w:tc>
        <w:tc>
          <w:tcPr>
            <w:tcW w:w="424" w:type="pct"/>
          </w:tcPr>
          <w:p w14:paraId="74940164"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6D065DA6" w14:textId="77777777" w:rsidR="00547B72" w:rsidRPr="000E342B" w:rsidRDefault="00547B72" w:rsidP="00630761">
            <w:pPr>
              <w:spacing w:before="0"/>
              <w:jc w:val="center"/>
              <w:rPr>
                <w:lang w:eastAsia="ja-JP"/>
              </w:rPr>
            </w:pPr>
            <w:r w:rsidRPr="000E342B">
              <w:rPr>
                <w:lang w:eastAsia="ja-JP"/>
              </w:rPr>
              <w:t>300 pu</w:t>
            </w:r>
          </w:p>
          <w:p w14:paraId="2843A11E" w14:textId="77777777" w:rsidR="00547B72" w:rsidRPr="000E342B" w:rsidRDefault="00547B72" w:rsidP="00630761">
            <w:pPr>
              <w:spacing w:before="0"/>
              <w:jc w:val="center"/>
              <w:rPr>
                <w:lang w:eastAsia="ja-JP"/>
              </w:rPr>
            </w:pPr>
            <w:r w:rsidRPr="000E342B">
              <w:rPr>
                <w:lang w:eastAsia="ja-JP"/>
              </w:rPr>
              <w:t>$66,600</w:t>
            </w:r>
          </w:p>
        </w:tc>
        <w:tc>
          <w:tcPr>
            <w:tcW w:w="491" w:type="pct"/>
          </w:tcPr>
          <w:p w14:paraId="4588C075"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2A4C2A10"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1A47F6AC" w14:textId="77777777" w:rsidTr="00630761">
        <w:trPr>
          <w:cantSplit/>
          <w:trHeight w:val="317"/>
        </w:trPr>
        <w:tc>
          <w:tcPr>
            <w:tcW w:w="354" w:type="pct"/>
            <w:vMerge/>
            <w:shd w:val="clear" w:color="auto" w:fill="D9E2F3" w:themeFill="accent1" w:themeFillTint="33"/>
          </w:tcPr>
          <w:p w14:paraId="76F316B4" w14:textId="77777777" w:rsidR="00547B72" w:rsidRPr="000E342B" w:rsidRDefault="00547B72" w:rsidP="00630761">
            <w:pPr>
              <w:spacing w:before="0"/>
              <w:rPr>
                <w:lang w:eastAsia="ja-JP"/>
              </w:rPr>
            </w:pPr>
          </w:p>
        </w:tc>
        <w:tc>
          <w:tcPr>
            <w:tcW w:w="2444" w:type="pct"/>
            <w:vMerge/>
          </w:tcPr>
          <w:p w14:paraId="66BAEC34" w14:textId="77777777" w:rsidR="00547B72" w:rsidRPr="000E342B" w:rsidRDefault="00547B72" w:rsidP="00630761">
            <w:pPr>
              <w:spacing w:before="0"/>
            </w:pPr>
          </w:p>
        </w:tc>
        <w:tc>
          <w:tcPr>
            <w:tcW w:w="473" w:type="pct"/>
            <w:shd w:val="clear" w:color="auto" w:fill="D9E2F3" w:themeFill="accent1" w:themeFillTint="33"/>
          </w:tcPr>
          <w:p w14:paraId="2C0467A0" w14:textId="77777777" w:rsidR="00547B72" w:rsidRPr="000E342B" w:rsidRDefault="00547B72" w:rsidP="00630761">
            <w:pPr>
              <w:spacing w:before="0"/>
            </w:pPr>
            <w:r w:rsidRPr="000E342B">
              <w:t>238(4)</w:t>
            </w:r>
          </w:p>
        </w:tc>
        <w:tc>
          <w:tcPr>
            <w:tcW w:w="384" w:type="pct"/>
            <w:shd w:val="clear" w:color="auto" w:fill="D9D9D9" w:themeFill="background1" w:themeFillShade="D9"/>
          </w:tcPr>
          <w:p w14:paraId="40082BB5" w14:textId="77777777" w:rsidR="00547B72" w:rsidRPr="000E342B" w:rsidRDefault="00547B72" w:rsidP="00630761">
            <w:pPr>
              <w:spacing w:before="0"/>
              <w:jc w:val="center"/>
            </w:pPr>
            <w:r w:rsidRPr="000E342B">
              <w:t>-</w:t>
            </w:r>
          </w:p>
        </w:tc>
        <w:tc>
          <w:tcPr>
            <w:tcW w:w="424" w:type="pct"/>
          </w:tcPr>
          <w:p w14:paraId="14819CA4"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4B6309E8" w14:textId="77777777" w:rsidR="00547B72" w:rsidRPr="000E342B" w:rsidRDefault="00547B72" w:rsidP="00630761">
            <w:pPr>
              <w:spacing w:before="0"/>
              <w:jc w:val="center"/>
              <w:rPr>
                <w:lang w:eastAsia="ja-JP"/>
              </w:rPr>
            </w:pPr>
            <w:r w:rsidRPr="000E342B">
              <w:rPr>
                <w:lang w:eastAsia="ja-JP"/>
              </w:rPr>
              <w:t>300 pu</w:t>
            </w:r>
          </w:p>
          <w:p w14:paraId="317FEA51" w14:textId="77777777" w:rsidR="00547B72" w:rsidRPr="000E342B" w:rsidRDefault="00547B72" w:rsidP="00630761">
            <w:pPr>
              <w:spacing w:before="0"/>
              <w:jc w:val="center"/>
              <w:rPr>
                <w:lang w:eastAsia="ja-JP"/>
              </w:rPr>
            </w:pPr>
            <w:r w:rsidRPr="000E342B">
              <w:rPr>
                <w:lang w:eastAsia="ja-JP"/>
              </w:rPr>
              <w:t>$66,600</w:t>
            </w:r>
          </w:p>
        </w:tc>
        <w:tc>
          <w:tcPr>
            <w:tcW w:w="491" w:type="pct"/>
          </w:tcPr>
          <w:p w14:paraId="134CE185"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077478B9"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3A1A0F9F" w14:textId="77777777" w:rsidTr="00630761">
        <w:trPr>
          <w:cantSplit/>
          <w:trHeight w:val="601"/>
        </w:trPr>
        <w:tc>
          <w:tcPr>
            <w:tcW w:w="354" w:type="pct"/>
            <w:vMerge/>
            <w:shd w:val="clear" w:color="auto" w:fill="D9E2F3" w:themeFill="accent1" w:themeFillTint="33"/>
          </w:tcPr>
          <w:p w14:paraId="55CEF76E" w14:textId="77777777" w:rsidR="00547B72" w:rsidRPr="000E342B" w:rsidRDefault="00547B72" w:rsidP="00630761">
            <w:pPr>
              <w:spacing w:before="0"/>
              <w:rPr>
                <w:lang w:eastAsia="ja-JP"/>
              </w:rPr>
            </w:pPr>
          </w:p>
        </w:tc>
        <w:tc>
          <w:tcPr>
            <w:tcW w:w="2444" w:type="pct"/>
            <w:vMerge/>
          </w:tcPr>
          <w:p w14:paraId="7FF713B8" w14:textId="77777777" w:rsidR="00547B72" w:rsidRPr="000E342B" w:rsidRDefault="00547B72" w:rsidP="00630761">
            <w:pPr>
              <w:spacing w:before="0"/>
            </w:pPr>
          </w:p>
        </w:tc>
        <w:tc>
          <w:tcPr>
            <w:tcW w:w="473" w:type="pct"/>
            <w:shd w:val="clear" w:color="auto" w:fill="D9E2F3" w:themeFill="accent1" w:themeFillTint="33"/>
          </w:tcPr>
          <w:p w14:paraId="44BC751A" w14:textId="77777777" w:rsidR="00547B72" w:rsidRPr="000E342B" w:rsidRDefault="00547B72" w:rsidP="00630761">
            <w:pPr>
              <w:spacing w:before="0"/>
            </w:pPr>
            <w:r w:rsidRPr="000E342B">
              <w:t>238(5)</w:t>
            </w:r>
          </w:p>
        </w:tc>
        <w:tc>
          <w:tcPr>
            <w:tcW w:w="384" w:type="pct"/>
            <w:shd w:val="clear" w:color="auto" w:fill="D9D9D9" w:themeFill="background1" w:themeFillShade="D9"/>
          </w:tcPr>
          <w:p w14:paraId="0CE538A5" w14:textId="77777777" w:rsidR="00547B72" w:rsidRPr="000E342B" w:rsidRDefault="00547B72" w:rsidP="00630761">
            <w:pPr>
              <w:spacing w:before="0"/>
              <w:jc w:val="center"/>
            </w:pPr>
            <w:r w:rsidRPr="000E342B">
              <w:t>120 pu</w:t>
            </w:r>
          </w:p>
          <w:p w14:paraId="50BACF62" w14:textId="77777777" w:rsidR="00547B72" w:rsidRPr="000E342B" w:rsidRDefault="00547B72" w:rsidP="00630761">
            <w:pPr>
              <w:spacing w:before="0"/>
              <w:jc w:val="center"/>
            </w:pPr>
            <w:r w:rsidRPr="000E342B">
              <w:rPr>
                <w:lang w:eastAsia="ja-JP"/>
              </w:rPr>
              <w:t>$26,640</w:t>
            </w:r>
          </w:p>
        </w:tc>
        <w:tc>
          <w:tcPr>
            <w:tcW w:w="424" w:type="pct"/>
          </w:tcPr>
          <w:p w14:paraId="29B2BA58" w14:textId="77777777" w:rsidR="00547B72" w:rsidRPr="000E342B" w:rsidRDefault="00547B72" w:rsidP="00630761">
            <w:pPr>
              <w:spacing w:before="0"/>
              <w:jc w:val="center"/>
              <w:rPr>
                <w:lang w:eastAsia="ja-JP"/>
              </w:rPr>
            </w:pPr>
            <w:r w:rsidRPr="000E342B">
              <w:rPr>
                <w:lang w:eastAsia="ja-JP"/>
              </w:rPr>
              <w:t>300 pu</w:t>
            </w:r>
          </w:p>
          <w:p w14:paraId="48A39058"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45E559A8" w14:textId="77777777" w:rsidR="00547B72" w:rsidRPr="000E342B" w:rsidRDefault="00547B72" w:rsidP="00630761">
            <w:pPr>
              <w:spacing w:before="0"/>
              <w:jc w:val="center"/>
              <w:rPr>
                <w:lang w:eastAsia="ja-JP"/>
              </w:rPr>
            </w:pPr>
            <w:r w:rsidRPr="000E342B">
              <w:rPr>
                <w:lang w:eastAsia="ja-JP"/>
              </w:rPr>
              <w:t>-</w:t>
            </w:r>
          </w:p>
        </w:tc>
        <w:tc>
          <w:tcPr>
            <w:tcW w:w="491" w:type="pct"/>
          </w:tcPr>
          <w:p w14:paraId="0AAD6C22" w14:textId="77777777" w:rsidR="00547B72" w:rsidRPr="000E342B" w:rsidRDefault="00547B72" w:rsidP="00630761">
            <w:pPr>
              <w:spacing w:before="0"/>
              <w:jc w:val="center"/>
              <w:rPr>
                <w:lang w:eastAsia="ja-JP"/>
              </w:rPr>
            </w:pPr>
            <w:r w:rsidRPr="000E342B">
              <w:rPr>
                <w:lang w:eastAsia="ja-JP"/>
              </w:rPr>
              <w:t>-</w:t>
            </w:r>
          </w:p>
        </w:tc>
      </w:tr>
      <w:tr w:rsidR="00547B72" w:rsidRPr="000E342B" w14:paraId="14E4085C" w14:textId="77777777" w:rsidTr="00630761">
        <w:trPr>
          <w:cantSplit/>
          <w:trHeight w:val="58"/>
        </w:trPr>
        <w:tc>
          <w:tcPr>
            <w:tcW w:w="354" w:type="pct"/>
            <w:vMerge w:val="restart"/>
            <w:shd w:val="clear" w:color="auto" w:fill="D9E2F3" w:themeFill="accent1" w:themeFillTint="33"/>
          </w:tcPr>
          <w:p w14:paraId="14D6143E" w14:textId="77777777" w:rsidR="00547B72" w:rsidRPr="000E342B" w:rsidRDefault="00547B72" w:rsidP="00630761">
            <w:pPr>
              <w:spacing w:before="0"/>
              <w:rPr>
                <w:lang w:eastAsia="ja-JP"/>
              </w:rPr>
            </w:pPr>
            <w:r w:rsidRPr="000E342B">
              <w:rPr>
                <w:lang w:eastAsia="ja-JP"/>
              </w:rPr>
              <w:t>239</w:t>
            </w:r>
          </w:p>
        </w:tc>
        <w:tc>
          <w:tcPr>
            <w:tcW w:w="2444" w:type="pct"/>
            <w:vMerge w:val="restart"/>
          </w:tcPr>
          <w:p w14:paraId="73D33AF4" w14:textId="77777777" w:rsidR="00547B72" w:rsidRPr="000E342B" w:rsidRDefault="00547B72" w:rsidP="00630761">
            <w:pPr>
              <w:spacing w:before="0"/>
            </w:pPr>
            <w:r w:rsidRPr="000E342B">
              <w:t xml:space="preserve">Person in charge or </w:t>
            </w:r>
            <w:r>
              <w:t xml:space="preserve">the </w:t>
            </w:r>
            <w:r w:rsidRPr="000E342B">
              <w:t xml:space="preserve">operator of an aircraft that has been given permission to land at a landing place that is not </w:t>
            </w:r>
            <w:r>
              <w:t xml:space="preserve">a </w:t>
            </w:r>
            <w:r w:rsidRPr="000E342B">
              <w:t xml:space="preserve">first point of entry for </w:t>
            </w:r>
            <w:r>
              <w:t xml:space="preserve">the </w:t>
            </w:r>
            <w:r w:rsidRPr="000E342B">
              <w:t>aircraft must comply with the conditions specified in the notice giving this permission.</w:t>
            </w:r>
          </w:p>
        </w:tc>
        <w:tc>
          <w:tcPr>
            <w:tcW w:w="473" w:type="pct"/>
            <w:shd w:val="clear" w:color="auto" w:fill="D9E2F3" w:themeFill="accent1" w:themeFillTint="33"/>
          </w:tcPr>
          <w:p w14:paraId="098997D5" w14:textId="77777777" w:rsidR="00547B72" w:rsidRPr="000E342B" w:rsidRDefault="00547B72" w:rsidP="00630761">
            <w:pPr>
              <w:spacing w:before="0"/>
            </w:pPr>
            <w:r w:rsidRPr="000E342B">
              <w:t>239(4)</w:t>
            </w:r>
          </w:p>
        </w:tc>
        <w:tc>
          <w:tcPr>
            <w:tcW w:w="384" w:type="pct"/>
            <w:shd w:val="clear" w:color="auto" w:fill="D9D9D9" w:themeFill="background1" w:themeFillShade="D9"/>
          </w:tcPr>
          <w:p w14:paraId="7E927D26" w14:textId="77777777" w:rsidR="00547B72" w:rsidRPr="000E342B" w:rsidRDefault="00547B72" w:rsidP="00630761">
            <w:pPr>
              <w:spacing w:before="0"/>
              <w:jc w:val="center"/>
            </w:pPr>
            <w:r w:rsidRPr="000E342B">
              <w:t>-</w:t>
            </w:r>
          </w:p>
        </w:tc>
        <w:tc>
          <w:tcPr>
            <w:tcW w:w="424" w:type="pct"/>
          </w:tcPr>
          <w:p w14:paraId="54D8128A"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004C1C2B" w14:textId="77777777" w:rsidR="00547B72" w:rsidRPr="000E342B" w:rsidRDefault="00547B72" w:rsidP="00630761">
            <w:pPr>
              <w:spacing w:before="0"/>
              <w:jc w:val="center"/>
              <w:rPr>
                <w:lang w:eastAsia="ja-JP"/>
              </w:rPr>
            </w:pPr>
            <w:r w:rsidRPr="000E342B">
              <w:rPr>
                <w:lang w:eastAsia="ja-JP"/>
              </w:rPr>
              <w:t>300 pu</w:t>
            </w:r>
          </w:p>
          <w:p w14:paraId="02E13D8B" w14:textId="77777777" w:rsidR="00547B72" w:rsidRPr="000E342B" w:rsidRDefault="00547B72" w:rsidP="00630761">
            <w:pPr>
              <w:spacing w:before="0"/>
              <w:jc w:val="center"/>
              <w:rPr>
                <w:lang w:eastAsia="ja-JP"/>
              </w:rPr>
            </w:pPr>
            <w:r w:rsidRPr="000E342B">
              <w:rPr>
                <w:lang w:eastAsia="ja-JP"/>
              </w:rPr>
              <w:t>$66,600</w:t>
            </w:r>
          </w:p>
        </w:tc>
        <w:tc>
          <w:tcPr>
            <w:tcW w:w="491" w:type="pct"/>
          </w:tcPr>
          <w:p w14:paraId="1602BF83"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0279C76B"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2F89D1E9" w14:textId="77777777" w:rsidTr="00630761">
        <w:trPr>
          <w:cantSplit/>
          <w:trHeight w:val="319"/>
        </w:trPr>
        <w:tc>
          <w:tcPr>
            <w:tcW w:w="354" w:type="pct"/>
            <w:vMerge/>
            <w:shd w:val="clear" w:color="auto" w:fill="D9E2F3" w:themeFill="accent1" w:themeFillTint="33"/>
          </w:tcPr>
          <w:p w14:paraId="0B218144" w14:textId="77777777" w:rsidR="00547B72" w:rsidRPr="000E342B" w:rsidRDefault="00547B72" w:rsidP="00630761">
            <w:pPr>
              <w:spacing w:before="0"/>
              <w:rPr>
                <w:lang w:eastAsia="ja-JP"/>
              </w:rPr>
            </w:pPr>
          </w:p>
        </w:tc>
        <w:tc>
          <w:tcPr>
            <w:tcW w:w="2444" w:type="pct"/>
            <w:vMerge/>
          </w:tcPr>
          <w:p w14:paraId="1F68B348" w14:textId="77777777" w:rsidR="00547B72" w:rsidRPr="000E342B" w:rsidRDefault="00547B72" w:rsidP="00630761">
            <w:pPr>
              <w:spacing w:before="0"/>
            </w:pPr>
          </w:p>
        </w:tc>
        <w:tc>
          <w:tcPr>
            <w:tcW w:w="473" w:type="pct"/>
            <w:shd w:val="clear" w:color="auto" w:fill="D9E2F3" w:themeFill="accent1" w:themeFillTint="33"/>
          </w:tcPr>
          <w:p w14:paraId="0EB29B60" w14:textId="77777777" w:rsidR="00547B72" w:rsidRPr="000E342B" w:rsidRDefault="00547B72" w:rsidP="00630761">
            <w:pPr>
              <w:spacing w:before="0"/>
            </w:pPr>
            <w:r w:rsidRPr="000E342B">
              <w:t>239(5)</w:t>
            </w:r>
          </w:p>
        </w:tc>
        <w:tc>
          <w:tcPr>
            <w:tcW w:w="384" w:type="pct"/>
            <w:shd w:val="clear" w:color="auto" w:fill="D9D9D9" w:themeFill="background1" w:themeFillShade="D9"/>
          </w:tcPr>
          <w:p w14:paraId="74FF7545" w14:textId="77777777" w:rsidR="00547B72" w:rsidRPr="000E342B" w:rsidRDefault="00547B72" w:rsidP="00630761">
            <w:pPr>
              <w:spacing w:before="0"/>
              <w:jc w:val="center"/>
            </w:pPr>
            <w:r w:rsidRPr="000E342B">
              <w:t>-</w:t>
            </w:r>
          </w:p>
        </w:tc>
        <w:tc>
          <w:tcPr>
            <w:tcW w:w="424" w:type="pct"/>
          </w:tcPr>
          <w:p w14:paraId="0742D3E4"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29C7786B" w14:textId="77777777" w:rsidR="00547B72" w:rsidRPr="000E342B" w:rsidRDefault="00547B72" w:rsidP="00630761">
            <w:pPr>
              <w:spacing w:before="0"/>
              <w:jc w:val="center"/>
              <w:rPr>
                <w:lang w:eastAsia="ja-JP"/>
              </w:rPr>
            </w:pPr>
            <w:r w:rsidRPr="000E342B">
              <w:rPr>
                <w:lang w:eastAsia="ja-JP"/>
              </w:rPr>
              <w:t>300 pu</w:t>
            </w:r>
          </w:p>
          <w:p w14:paraId="64636940" w14:textId="77777777" w:rsidR="00547B72" w:rsidRPr="000E342B" w:rsidRDefault="00547B72" w:rsidP="00630761">
            <w:pPr>
              <w:spacing w:before="0"/>
              <w:jc w:val="center"/>
              <w:rPr>
                <w:lang w:eastAsia="ja-JP"/>
              </w:rPr>
            </w:pPr>
            <w:r w:rsidRPr="000E342B">
              <w:rPr>
                <w:lang w:eastAsia="ja-JP"/>
              </w:rPr>
              <w:t>$66,600</w:t>
            </w:r>
          </w:p>
        </w:tc>
        <w:tc>
          <w:tcPr>
            <w:tcW w:w="491" w:type="pct"/>
          </w:tcPr>
          <w:p w14:paraId="54C9A7EC"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573BE33F"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1898E9F9" w14:textId="77777777" w:rsidTr="00630761">
        <w:trPr>
          <w:cantSplit/>
          <w:trHeight w:val="355"/>
        </w:trPr>
        <w:tc>
          <w:tcPr>
            <w:tcW w:w="354" w:type="pct"/>
            <w:vMerge/>
            <w:shd w:val="clear" w:color="auto" w:fill="D9E2F3" w:themeFill="accent1" w:themeFillTint="33"/>
          </w:tcPr>
          <w:p w14:paraId="5546B24F" w14:textId="77777777" w:rsidR="00547B72" w:rsidRPr="000E342B" w:rsidRDefault="00547B72" w:rsidP="00630761">
            <w:pPr>
              <w:spacing w:before="0"/>
              <w:rPr>
                <w:lang w:eastAsia="ja-JP"/>
              </w:rPr>
            </w:pPr>
          </w:p>
        </w:tc>
        <w:tc>
          <w:tcPr>
            <w:tcW w:w="2444" w:type="pct"/>
            <w:vMerge/>
          </w:tcPr>
          <w:p w14:paraId="1433524D" w14:textId="77777777" w:rsidR="00547B72" w:rsidRPr="000E342B" w:rsidRDefault="00547B72" w:rsidP="00630761">
            <w:pPr>
              <w:spacing w:before="0"/>
            </w:pPr>
          </w:p>
        </w:tc>
        <w:tc>
          <w:tcPr>
            <w:tcW w:w="473" w:type="pct"/>
            <w:shd w:val="clear" w:color="auto" w:fill="D9E2F3" w:themeFill="accent1" w:themeFillTint="33"/>
          </w:tcPr>
          <w:p w14:paraId="0FE90009" w14:textId="77777777" w:rsidR="00547B72" w:rsidRPr="000E342B" w:rsidRDefault="00547B72" w:rsidP="00630761">
            <w:pPr>
              <w:spacing w:before="0"/>
            </w:pPr>
            <w:r w:rsidRPr="000E342B">
              <w:t>239(6)</w:t>
            </w:r>
          </w:p>
        </w:tc>
        <w:tc>
          <w:tcPr>
            <w:tcW w:w="384" w:type="pct"/>
            <w:shd w:val="clear" w:color="auto" w:fill="D9D9D9" w:themeFill="background1" w:themeFillShade="D9"/>
          </w:tcPr>
          <w:p w14:paraId="78B30540" w14:textId="77777777" w:rsidR="00547B72" w:rsidRPr="000E342B" w:rsidRDefault="00547B72" w:rsidP="00630761">
            <w:pPr>
              <w:spacing w:before="0"/>
              <w:jc w:val="center"/>
            </w:pPr>
            <w:r w:rsidRPr="000E342B">
              <w:t>-</w:t>
            </w:r>
          </w:p>
        </w:tc>
        <w:tc>
          <w:tcPr>
            <w:tcW w:w="424" w:type="pct"/>
          </w:tcPr>
          <w:p w14:paraId="06DD59FF"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74D234EB" w14:textId="77777777" w:rsidR="00547B72" w:rsidRPr="000E342B" w:rsidRDefault="00547B72" w:rsidP="00630761">
            <w:pPr>
              <w:spacing w:before="0"/>
              <w:jc w:val="center"/>
              <w:rPr>
                <w:lang w:eastAsia="ja-JP"/>
              </w:rPr>
            </w:pPr>
            <w:r w:rsidRPr="000E342B">
              <w:rPr>
                <w:lang w:eastAsia="ja-JP"/>
              </w:rPr>
              <w:t>300 pu</w:t>
            </w:r>
          </w:p>
          <w:p w14:paraId="3F451ECC" w14:textId="77777777" w:rsidR="00547B72" w:rsidRPr="000E342B" w:rsidRDefault="00547B72" w:rsidP="00630761">
            <w:pPr>
              <w:spacing w:before="0"/>
              <w:jc w:val="center"/>
              <w:rPr>
                <w:lang w:eastAsia="ja-JP"/>
              </w:rPr>
            </w:pPr>
            <w:r w:rsidRPr="000E342B">
              <w:rPr>
                <w:lang w:eastAsia="ja-JP"/>
              </w:rPr>
              <w:t>$66,600</w:t>
            </w:r>
          </w:p>
        </w:tc>
        <w:tc>
          <w:tcPr>
            <w:tcW w:w="491" w:type="pct"/>
          </w:tcPr>
          <w:p w14:paraId="59BB42A9"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7FF94354"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412B9DC7" w14:textId="77777777" w:rsidTr="00630761">
        <w:trPr>
          <w:cantSplit/>
          <w:trHeight w:val="262"/>
        </w:trPr>
        <w:tc>
          <w:tcPr>
            <w:tcW w:w="354" w:type="pct"/>
            <w:vMerge/>
            <w:shd w:val="clear" w:color="auto" w:fill="D9E2F3" w:themeFill="accent1" w:themeFillTint="33"/>
          </w:tcPr>
          <w:p w14:paraId="3D54C40F" w14:textId="77777777" w:rsidR="00547B72" w:rsidRPr="000E342B" w:rsidRDefault="00547B72" w:rsidP="00630761">
            <w:pPr>
              <w:spacing w:before="0"/>
              <w:rPr>
                <w:lang w:eastAsia="ja-JP"/>
              </w:rPr>
            </w:pPr>
          </w:p>
        </w:tc>
        <w:tc>
          <w:tcPr>
            <w:tcW w:w="2444" w:type="pct"/>
            <w:vMerge/>
          </w:tcPr>
          <w:p w14:paraId="77F23BAD" w14:textId="77777777" w:rsidR="00547B72" w:rsidRPr="000E342B" w:rsidRDefault="00547B72" w:rsidP="00630761">
            <w:pPr>
              <w:spacing w:before="0"/>
            </w:pPr>
          </w:p>
        </w:tc>
        <w:tc>
          <w:tcPr>
            <w:tcW w:w="473" w:type="pct"/>
            <w:shd w:val="clear" w:color="auto" w:fill="D9E2F3" w:themeFill="accent1" w:themeFillTint="33"/>
          </w:tcPr>
          <w:p w14:paraId="22E85FF3" w14:textId="77777777" w:rsidR="00547B72" w:rsidRPr="000E342B" w:rsidRDefault="00547B72" w:rsidP="00630761">
            <w:pPr>
              <w:spacing w:before="0"/>
            </w:pPr>
            <w:r w:rsidRPr="000E342B">
              <w:t>239(7)</w:t>
            </w:r>
          </w:p>
        </w:tc>
        <w:tc>
          <w:tcPr>
            <w:tcW w:w="384" w:type="pct"/>
            <w:shd w:val="clear" w:color="auto" w:fill="D9D9D9" w:themeFill="background1" w:themeFillShade="D9"/>
          </w:tcPr>
          <w:p w14:paraId="47B5A9BF" w14:textId="77777777" w:rsidR="00547B72" w:rsidRPr="000E342B" w:rsidRDefault="00547B72" w:rsidP="00630761">
            <w:pPr>
              <w:spacing w:before="0"/>
              <w:jc w:val="center"/>
            </w:pPr>
            <w:r w:rsidRPr="000E342B">
              <w:t>120 pu</w:t>
            </w:r>
          </w:p>
          <w:p w14:paraId="1F3DCE45" w14:textId="77777777" w:rsidR="00547B72" w:rsidRPr="000E342B" w:rsidRDefault="00547B72" w:rsidP="00630761">
            <w:pPr>
              <w:spacing w:before="0"/>
              <w:jc w:val="center"/>
            </w:pPr>
            <w:r w:rsidRPr="000E342B">
              <w:rPr>
                <w:lang w:eastAsia="ja-JP"/>
              </w:rPr>
              <w:t>$26,640</w:t>
            </w:r>
          </w:p>
        </w:tc>
        <w:tc>
          <w:tcPr>
            <w:tcW w:w="424" w:type="pct"/>
          </w:tcPr>
          <w:p w14:paraId="211EE44A" w14:textId="77777777" w:rsidR="00547B72" w:rsidRPr="000E342B" w:rsidRDefault="00547B72" w:rsidP="00630761">
            <w:pPr>
              <w:spacing w:before="0"/>
              <w:jc w:val="center"/>
              <w:rPr>
                <w:lang w:eastAsia="ja-JP"/>
              </w:rPr>
            </w:pPr>
            <w:r w:rsidRPr="000E342B">
              <w:rPr>
                <w:lang w:eastAsia="ja-JP"/>
              </w:rPr>
              <w:t>300 pu</w:t>
            </w:r>
          </w:p>
          <w:p w14:paraId="3928BFB4"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6B4F278B" w14:textId="77777777" w:rsidR="00547B72" w:rsidRPr="000E342B" w:rsidRDefault="00547B72" w:rsidP="00630761">
            <w:pPr>
              <w:spacing w:before="0"/>
              <w:jc w:val="center"/>
              <w:rPr>
                <w:lang w:eastAsia="ja-JP"/>
              </w:rPr>
            </w:pPr>
            <w:r w:rsidRPr="000E342B">
              <w:rPr>
                <w:lang w:eastAsia="ja-JP"/>
              </w:rPr>
              <w:t>-</w:t>
            </w:r>
          </w:p>
        </w:tc>
        <w:tc>
          <w:tcPr>
            <w:tcW w:w="491" w:type="pct"/>
          </w:tcPr>
          <w:p w14:paraId="56ACE074" w14:textId="77777777" w:rsidR="00547B72" w:rsidRPr="000E342B" w:rsidRDefault="00547B72" w:rsidP="00630761">
            <w:pPr>
              <w:spacing w:before="0"/>
              <w:jc w:val="center"/>
              <w:rPr>
                <w:lang w:eastAsia="ja-JP"/>
              </w:rPr>
            </w:pPr>
            <w:r w:rsidRPr="000E342B">
              <w:rPr>
                <w:lang w:eastAsia="ja-JP"/>
              </w:rPr>
              <w:t>-</w:t>
            </w:r>
          </w:p>
        </w:tc>
      </w:tr>
      <w:tr w:rsidR="00547B72" w:rsidRPr="000E342B" w14:paraId="336DDDEF" w14:textId="77777777" w:rsidTr="00630761">
        <w:trPr>
          <w:cantSplit/>
          <w:trHeight w:val="157"/>
        </w:trPr>
        <w:tc>
          <w:tcPr>
            <w:tcW w:w="354" w:type="pct"/>
            <w:vMerge w:val="restart"/>
            <w:shd w:val="clear" w:color="auto" w:fill="D9E2F3" w:themeFill="accent1" w:themeFillTint="33"/>
          </w:tcPr>
          <w:p w14:paraId="4150BAC0" w14:textId="77777777" w:rsidR="00547B72" w:rsidRPr="000E342B" w:rsidRDefault="00547B72" w:rsidP="00630761">
            <w:pPr>
              <w:spacing w:before="0"/>
              <w:rPr>
                <w:lang w:eastAsia="ja-JP"/>
              </w:rPr>
            </w:pPr>
            <w:r w:rsidRPr="000E342B">
              <w:rPr>
                <w:lang w:eastAsia="ja-JP"/>
              </w:rPr>
              <w:lastRenderedPageBreak/>
              <w:t>243</w:t>
            </w:r>
          </w:p>
        </w:tc>
        <w:tc>
          <w:tcPr>
            <w:tcW w:w="2444" w:type="pct"/>
            <w:vMerge w:val="restart"/>
          </w:tcPr>
          <w:p w14:paraId="51194153" w14:textId="77777777" w:rsidR="00547B72" w:rsidRPr="000E342B" w:rsidRDefault="00547B72" w:rsidP="00630761">
            <w:pPr>
              <w:spacing w:before="0"/>
            </w:pPr>
            <w:r w:rsidRPr="000E342B">
              <w:t>Person who is given a direction under a provision of Division 2 of Part 4 of Chapter 4 (which includes section</w:t>
            </w:r>
            <w:r>
              <w:t>s</w:t>
            </w:r>
            <w:r w:rsidRPr="000E342B">
              <w:t xml:space="preserve"> 240, 241 and 242) must comply with the direction.</w:t>
            </w:r>
          </w:p>
        </w:tc>
        <w:tc>
          <w:tcPr>
            <w:tcW w:w="473" w:type="pct"/>
            <w:shd w:val="clear" w:color="auto" w:fill="D9E2F3" w:themeFill="accent1" w:themeFillTint="33"/>
          </w:tcPr>
          <w:p w14:paraId="50EBE45E" w14:textId="77777777" w:rsidR="00547B72" w:rsidRPr="000E342B" w:rsidRDefault="00547B72" w:rsidP="00630761">
            <w:pPr>
              <w:spacing w:before="0"/>
            </w:pPr>
            <w:r w:rsidRPr="000E342B">
              <w:t>243(2)</w:t>
            </w:r>
          </w:p>
        </w:tc>
        <w:tc>
          <w:tcPr>
            <w:tcW w:w="384" w:type="pct"/>
            <w:shd w:val="clear" w:color="auto" w:fill="D9D9D9" w:themeFill="background1" w:themeFillShade="D9"/>
          </w:tcPr>
          <w:p w14:paraId="04A4D47A" w14:textId="77777777" w:rsidR="00547B72" w:rsidRPr="000E342B" w:rsidRDefault="00547B72" w:rsidP="00630761">
            <w:pPr>
              <w:spacing w:before="0"/>
              <w:jc w:val="center"/>
            </w:pPr>
            <w:r w:rsidRPr="000E342B">
              <w:t>-</w:t>
            </w:r>
          </w:p>
        </w:tc>
        <w:tc>
          <w:tcPr>
            <w:tcW w:w="424" w:type="pct"/>
          </w:tcPr>
          <w:p w14:paraId="4277F621"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0F2A3778" w14:textId="77777777" w:rsidR="00547B72" w:rsidRPr="000E342B" w:rsidRDefault="00547B72" w:rsidP="00630761">
            <w:pPr>
              <w:spacing w:before="0"/>
              <w:jc w:val="center"/>
              <w:rPr>
                <w:lang w:eastAsia="ja-JP"/>
              </w:rPr>
            </w:pPr>
            <w:r w:rsidRPr="000E342B">
              <w:rPr>
                <w:lang w:eastAsia="ja-JP"/>
              </w:rPr>
              <w:t>300 pu</w:t>
            </w:r>
          </w:p>
          <w:p w14:paraId="619EA426" w14:textId="77777777" w:rsidR="00547B72" w:rsidRPr="000E342B" w:rsidRDefault="00547B72" w:rsidP="00630761">
            <w:pPr>
              <w:spacing w:before="0"/>
              <w:jc w:val="center"/>
              <w:rPr>
                <w:lang w:eastAsia="ja-JP"/>
              </w:rPr>
            </w:pPr>
            <w:r w:rsidRPr="000E342B">
              <w:rPr>
                <w:lang w:eastAsia="ja-JP"/>
              </w:rPr>
              <w:t>$66,600</w:t>
            </w:r>
          </w:p>
        </w:tc>
        <w:tc>
          <w:tcPr>
            <w:tcW w:w="491" w:type="pct"/>
          </w:tcPr>
          <w:p w14:paraId="1E0C306E"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54AAB1A5"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617F6ED6" w14:textId="77777777" w:rsidTr="00630761">
        <w:trPr>
          <w:cantSplit/>
          <w:trHeight w:val="348"/>
        </w:trPr>
        <w:tc>
          <w:tcPr>
            <w:tcW w:w="354" w:type="pct"/>
            <w:vMerge/>
            <w:shd w:val="clear" w:color="auto" w:fill="D9E2F3" w:themeFill="accent1" w:themeFillTint="33"/>
          </w:tcPr>
          <w:p w14:paraId="18E7EF3F" w14:textId="77777777" w:rsidR="00547B72" w:rsidRPr="000E342B" w:rsidRDefault="00547B72" w:rsidP="00630761">
            <w:pPr>
              <w:spacing w:before="0"/>
              <w:rPr>
                <w:lang w:eastAsia="ja-JP"/>
              </w:rPr>
            </w:pPr>
          </w:p>
        </w:tc>
        <w:tc>
          <w:tcPr>
            <w:tcW w:w="2444" w:type="pct"/>
            <w:vMerge/>
          </w:tcPr>
          <w:p w14:paraId="14D1FA10" w14:textId="77777777" w:rsidR="00547B72" w:rsidRPr="000E342B" w:rsidRDefault="00547B72" w:rsidP="00630761">
            <w:pPr>
              <w:spacing w:before="0"/>
            </w:pPr>
          </w:p>
        </w:tc>
        <w:tc>
          <w:tcPr>
            <w:tcW w:w="473" w:type="pct"/>
            <w:shd w:val="clear" w:color="auto" w:fill="D9E2F3" w:themeFill="accent1" w:themeFillTint="33"/>
          </w:tcPr>
          <w:p w14:paraId="5672F7CD" w14:textId="77777777" w:rsidR="00547B72" w:rsidRPr="000E342B" w:rsidRDefault="00547B72" w:rsidP="00630761">
            <w:pPr>
              <w:spacing w:before="0"/>
            </w:pPr>
            <w:r w:rsidRPr="000E342B">
              <w:t>243(3)</w:t>
            </w:r>
          </w:p>
        </w:tc>
        <w:tc>
          <w:tcPr>
            <w:tcW w:w="384" w:type="pct"/>
            <w:shd w:val="clear" w:color="auto" w:fill="D9D9D9" w:themeFill="background1" w:themeFillShade="D9"/>
          </w:tcPr>
          <w:p w14:paraId="139951F6" w14:textId="77777777" w:rsidR="00547B72" w:rsidRPr="000E342B" w:rsidRDefault="00547B72" w:rsidP="00630761">
            <w:pPr>
              <w:spacing w:before="0"/>
              <w:jc w:val="center"/>
            </w:pPr>
            <w:r w:rsidRPr="000E342B">
              <w:t>120 pu</w:t>
            </w:r>
          </w:p>
          <w:p w14:paraId="7BE9FFB6" w14:textId="77777777" w:rsidR="00547B72" w:rsidRPr="000E342B" w:rsidRDefault="00547B72" w:rsidP="00630761">
            <w:pPr>
              <w:spacing w:before="0"/>
              <w:jc w:val="center"/>
            </w:pPr>
            <w:r w:rsidRPr="000E342B">
              <w:rPr>
                <w:lang w:eastAsia="ja-JP"/>
              </w:rPr>
              <w:t>$26,640</w:t>
            </w:r>
          </w:p>
        </w:tc>
        <w:tc>
          <w:tcPr>
            <w:tcW w:w="424" w:type="pct"/>
          </w:tcPr>
          <w:p w14:paraId="5B03F5E8" w14:textId="77777777" w:rsidR="00547B72" w:rsidRPr="000E342B" w:rsidRDefault="00547B72" w:rsidP="00630761">
            <w:pPr>
              <w:spacing w:before="0"/>
              <w:jc w:val="center"/>
              <w:rPr>
                <w:lang w:eastAsia="ja-JP"/>
              </w:rPr>
            </w:pPr>
            <w:r w:rsidRPr="000E342B">
              <w:rPr>
                <w:lang w:eastAsia="ja-JP"/>
              </w:rPr>
              <w:t>300 pu</w:t>
            </w:r>
          </w:p>
          <w:p w14:paraId="41FDAACF"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3B8EA5C2" w14:textId="77777777" w:rsidR="00547B72" w:rsidRPr="000E342B" w:rsidRDefault="00547B72" w:rsidP="00630761">
            <w:pPr>
              <w:spacing w:before="0"/>
              <w:jc w:val="center"/>
              <w:rPr>
                <w:lang w:eastAsia="ja-JP"/>
              </w:rPr>
            </w:pPr>
            <w:r w:rsidRPr="000E342B">
              <w:rPr>
                <w:lang w:eastAsia="ja-JP"/>
              </w:rPr>
              <w:t>-</w:t>
            </w:r>
          </w:p>
        </w:tc>
        <w:tc>
          <w:tcPr>
            <w:tcW w:w="491" w:type="pct"/>
          </w:tcPr>
          <w:p w14:paraId="6A79E628" w14:textId="77777777" w:rsidR="00547B72" w:rsidRPr="000E342B" w:rsidRDefault="00547B72" w:rsidP="00630761">
            <w:pPr>
              <w:spacing w:before="0"/>
              <w:jc w:val="center"/>
              <w:rPr>
                <w:lang w:eastAsia="ja-JP"/>
              </w:rPr>
            </w:pPr>
            <w:r w:rsidRPr="000E342B">
              <w:rPr>
                <w:lang w:eastAsia="ja-JP"/>
              </w:rPr>
              <w:t>-</w:t>
            </w:r>
          </w:p>
        </w:tc>
      </w:tr>
      <w:tr w:rsidR="00547B72" w:rsidRPr="000E342B" w14:paraId="4BEBEBB2" w14:textId="77777777" w:rsidTr="00630761">
        <w:trPr>
          <w:cantSplit/>
          <w:trHeight w:val="952"/>
        </w:trPr>
        <w:tc>
          <w:tcPr>
            <w:tcW w:w="5000" w:type="pct"/>
            <w:gridSpan w:val="7"/>
            <w:shd w:val="clear" w:color="auto" w:fill="D9E2F3" w:themeFill="accent1" w:themeFillTint="33"/>
          </w:tcPr>
          <w:p w14:paraId="70CBED91" w14:textId="77777777" w:rsidR="00547B72" w:rsidRPr="000E342B" w:rsidRDefault="00547B72" w:rsidP="00630761">
            <w:pPr>
              <w:spacing w:before="0"/>
              <w:rPr>
                <w:rFonts w:cstheme="minorHAnsi"/>
                <w:b/>
                <w:bCs/>
                <w:lang w:eastAsia="ja-JP"/>
              </w:rPr>
            </w:pPr>
            <w:r w:rsidRPr="000E342B">
              <w:rPr>
                <w:rFonts w:cstheme="minorHAnsi"/>
                <w:b/>
                <w:bCs/>
                <w:lang w:eastAsia="ja-JP"/>
              </w:rPr>
              <w:t>Chapter 4 – Managing biosecurity risks: conveyances</w:t>
            </w:r>
          </w:p>
          <w:p w14:paraId="5A65CE1B" w14:textId="77777777" w:rsidR="00547B72" w:rsidRPr="000E342B" w:rsidRDefault="00547B72" w:rsidP="00630761">
            <w:pPr>
              <w:spacing w:before="0"/>
              <w:rPr>
                <w:rFonts w:cstheme="minorHAnsi"/>
                <w:b/>
                <w:bCs/>
                <w:lang w:eastAsia="ja-JP"/>
              </w:rPr>
            </w:pPr>
            <w:r w:rsidRPr="000E342B">
              <w:rPr>
                <w:rFonts w:cstheme="minorHAnsi"/>
                <w:b/>
                <w:bCs/>
                <w:lang w:eastAsia="ja-JP"/>
              </w:rPr>
              <w:t>Part 4—Entry points for incoming aircraft and vessels</w:t>
            </w:r>
          </w:p>
          <w:p w14:paraId="0EA0DA85" w14:textId="77777777" w:rsidR="00547B72" w:rsidRPr="000E342B" w:rsidRDefault="00547B72" w:rsidP="00630761">
            <w:pPr>
              <w:spacing w:before="0"/>
              <w:rPr>
                <w:lang w:eastAsia="ja-JP"/>
              </w:rPr>
            </w:pPr>
            <w:r w:rsidRPr="000E342B">
              <w:rPr>
                <w:rFonts w:cstheme="minorHAnsi"/>
                <w:b/>
                <w:bCs/>
                <w:lang w:eastAsia="ja-JP"/>
              </w:rPr>
              <w:t>Division 3—Entry points for vessels that intend to be moored in Australian territory</w:t>
            </w:r>
          </w:p>
        </w:tc>
      </w:tr>
      <w:tr w:rsidR="00547B72" w:rsidRPr="000E342B" w14:paraId="0BFF8337" w14:textId="77777777" w:rsidTr="00630761">
        <w:trPr>
          <w:cantSplit/>
          <w:trHeight w:val="123"/>
        </w:trPr>
        <w:tc>
          <w:tcPr>
            <w:tcW w:w="354" w:type="pct"/>
            <w:vMerge w:val="restart"/>
            <w:shd w:val="clear" w:color="auto" w:fill="D9E2F3" w:themeFill="accent1" w:themeFillTint="33"/>
          </w:tcPr>
          <w:p w14:paraId="34BDDB2A" w14:textId="77777777" w:rsidR="00547B72" w:rsidRPr="000E342B" w:rsidRDefault="00547B72" w:rsidP="00630761">
            <w:pPr>
              <w:spacing w:before="0"/>
              <w:rPr>
                <w:lang w:eastAsia="ja-JP"/>
              </w:rPr>
            </w:pPr>
            <w:r w:rsidRPr="000E342B">
              <w:rPr>
                <w:lang w:eastAsia="ja-JP"/>
              </w:rPr>
              <w:t>245</w:t>
            </w:r>
          </w:p>
        </w:tc>
        <w:tc>
          <w:tcPr>
            <w:tcW w:w="2444" w:type="pct"/>
            <w:vMerge w:val="restart"/>
          </w:tcPr>
          <w:p w14:paraId="728DA961" w14:textId="77777777" w:rsidR="00547B72" w:rsidRPr="000E342B" w:rsidRDefault="00547B72" w:rsidP="00630761">
            <w:pPr>
              <w:spacing w:before="0"/>
            </w:pPr>
            <w:r w:rsidRPr="000E342B">
              <w:t xml:space="preserve">Vessel subject to biosecurity control must </w:t>
            </w:r>
            <w:r>
              <w:t xml:space="preserve">not </w:t>
            </w:r>
            <w:r w:rsidRPr="000E342B">
              <w:t xml:space="preserve">be moored at a port in Australian territory that is a first point of entry for </w:t>
            </w:r>
            <w:r>
              <w:t xml:space="preserve">the </w:t>
            </w:r>
            <w:r w:rsidRPr="000E342B">
              <w:t xml:space="preserve">vessel unless if a direction or permission has been given for the vessel to </w:t>
            </w:r>
            <w:r>
              <w:t xml:space="preserve">be </w:t>
            </w:r>
            <w:r w:rsidRPr="000E342B">
              <w:t>moor</w:t>
            </w:r>
            <w:r>
              <w:t>ed</w:t>
            </w:r>
            <w:r w:rsidRPr="000E342B">
              <w:t xml:space="preserve"> at </w:t>
            </w:r>
            <w:r>
              <w:t xml:space="preserve">that </w:t>
            </w:r>
            <w:r w:rsidRPr="000E342B">
              <w:t>port.</w:t>
            </w:r>
          </w:p>
        </w:tc>
        <w:tc>
          <w:tcPr>
            <w:tcW w:w="473" w:type="pct"/>
            <w:shd w:val="clear" w:color="auto" w:fill="D9E2F3" w:themeFill="accent1" w:themeFillTint="33"/>
          </w:tcPr>
          <w:p w14:paraId="3FA7E73F" w14:textId="77777777" w:rsidR="00547B72" w:rsidRPr="000E342B" w:rsidRDefault="00547B72" w:rsidP="00630761">
            <w:pPr>
              <w:spacing w:before="0"/>
            </w:pPr>
            <w:r w:rsidRPr="000E342B">
              <w:t>245(2)</w:t>
            </w:r>
          </w:p>
        </w:tc>
        <w:tc>
          <w:tcPr>
            <w:tcW w:w="384" w:type="pct"/>
            <w:shd w:val="clear" w:color="auto" w:fill="D9D9D9" w:themeFill="background1" w:themeFillShade="D9"/>
          </w:tcPr>
          <w:p w14:paraId="275F4337" w14:textId="77777777" w:rsidR="00547B72" w:rsidRPr="000E342B" w:rsidRDefault="00547B72" w:rsidP="00630761">
            <w:pPr>
              <w:spacing w:before="0"/>
              <w:jc w:val="center"/>
            </w:pPr>
            <w:r w:rsidRPr="000E342B">
              <w:t>-</w:t>
            </w:r>
          </w:p>
        </w:tc>
        <w:tc>
          <w:tcPr>
            <w:tcW w:w="424" w:type="pct"/>
          </w:tcPr>
          <w:p w14:paraId="0CA25AF8"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4B88823B" w14:textId="77777777" w:rsidR="00547B72" w:rsidRPr="000E342B" w:rsidRDefault="00547B72" w:rsidP="00630761">
            <w:pPr>
              <w:spacing w:before="0"/>
              <w:jc w:val="center"/>
              <w:rPr>
                <w:lang w:eastAsia="ja-JP"/>
              </w:rPr>
            </w:pPr>
            <w:r w:rsidRPr="000E342B">
              <w:rPr>
                <w:lang w:eastAsia="ja-JP"/>
              </w:rPr>
              <w:t>300 pu</w:t>
            </w:r>
          </w:p>
          <w:p w14:paraId="4EF8FCBB" w14:textId="77777777" w:rsidR="00547B72" w:rsidRPr="000E342B" w:rsidRDefault="00547B72" w:rsidP="00630761">
            <w:pPr>
              <w:spacing w:before="0"/>
              <w:jc w:val="center"/>
              <w:rPr>
                <w:lang w:eastAsia="ja-JP"/>
              </w:rPr>
            </w:pPr>
            <w:r w:rsidRPr="000E342B">
              <w:rPr>
                <w:lang w:eastAsia="ja-JP"/>
              </w:rPr>
              <w:t>$66,600</w:t>
            </w:r>
          </w:p>
        </w:tc>
        <w:tc>
          <w:tcPr>
            <w:tcW w:w="491" w:type="pct"/>
          </w:tcPr>
          <w:p w14:paraId="41046FF8"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6248555C"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1AF8251B" w14:textId="77777777" w:rsidTr="00630761">
        <w:trPr>
          <w:cantSplit/>
          <w:trHeight w:val="86"/>
        </w:trPr>
        <w:tc>
          <w:tcPr>
            <w:tcW w:w="354" w:type="pct"/>
            <w:vMerge/>
            <w:shd w:val="clear" w:color="auto" w:fill="D9E2F3" w:themeFill="accent1" w:themeFillTint="33"/>
          </w:tcPr>
          <w:p w14:paraId="645991D2" w14:textId="77777777" w:rsidR="00547B72" w:rsidRPr="000E342B" w:rsidRDefault="00547B72" w:rsidP="00630761">
            <w:pPr>
              <w:spacing w:before="0"/>
              <w:rPr>
                <w:lang w:eastAsia="ja-JP"/>
              </w:rPr>
            </w:pPr>
          </w:p>
        </w:tc>
        <w:tc>
          <w:tcPr>
            <w:tcW w:w="2444" w:type="pct"/>
            <w:vMerge/>
          </w:tcPr>
          <w:p w14:paraId="5B3C1202" w14:textId="77777777" w:rsidR="00547B72" w:rsidRPr="000E342B" w:rsidRDefault="00547B72" w:rsidP="00630761">
            <w:pPr>
              <w:spacing w:before="0"/>
            </w:pPr>
          </w:p>
        </w:tc>
        <w:tc>
          <w:tcPr>
            <w:tcW w:w="473" w:type="pct"/>
            <w:shd w:val="clear" w:color="auto" w:fill="D9E2F3" w:themeFill="accent1" w:themeFillTint="33"/>
          </w:tcPr>
          <w:p w14:paraId="2A8BC612" w14:textId="77777777" w:rsidR="00547B72" w:rsidRPr="000E342B" w:rsidRDefault="00547B72" w:rsidP="00630761">
            <w:pPr>
              <w:spacing w:before="0"/>
            </w:pPr>
            <w:r w:rsidRPr="000E342B">
              <w:t>245(3)</w:t>
            </w:r>
          </w:p>
        </w:tc>
        <w:tc>
          <w:tcPr>
            <w:tcW w:w="384" w:type="pct"/>
            <w:shd w:val="clear" w:color="auto" w:fill="D9D9D9" w:themeFill="background1" w:themeFillShade="D9"/>
          </w:tcPr>
          <w:p w14:paraId="4F3A773B" w14:textId="77777777" w:rsidR="00547B72" w:rsidRPr="000E342B" w:rsidRDefault="00547B72" w:rsidP="00630761">
            <w:pPr>
              <w:spacing w:before="0"/>
              <w:jc w:val="center"/>
            </w:pPr>
            <w:r w:rsidRPr="000E342B">
              <w:t>-</w:t>
            </w:r>
          </w:p>
        </w:tc>
        <w:tc>
          <w:tcPr>
            <w:tcW w:w="424" w:type="pct"/>
          </w:tcPr>
          <w:p w14:paraId="10FCF258"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52E9E0A0" w14:textId="77777777" w:rsidR="00547B72" w:rsidRPr="000E342B" w:rsidRDefault="00547B72" w:rsidP="00630761">
            <w:pPr>
              <w:spacing w:before="0"/>
              <w:jc w:val="center"/>
              <w:rPr>
                <w:lang w:eastAsia="ja-JP"/>
              </w:rPr>
            </w:pPr>
            <w:r w:rsidRPr="000E342B">
              <w:rPr>
                <w:lang w:eastAsia="ja-JP"/>
              </w:rPr>
              <w:t>300 pu</w:t>
            </w:r>
          </w:p>
          <w:p w14:paraId="715B3EFA" w14:textId="77777777" w:rsidR="00547B72" w:rsidRPr="000E342B" w:rsidRDefault="00547B72" w:rsidP="00630761">
            <w:pPr>
              <w:spacing w:before="0"/>
              <w:jc w:val="center"/>
              <w:rPr>
                <w:lang w:eastAsia="ja-JP"/>
              </w:rPr>
            </w:pPr>
            <w:r w:rsidRPr="000E342B">
              <w:rPr>
                <w:lang w:eastAsia="ja-JP"/>
              </w:rPr>
              <w:t>$66,600</w:t>
            </w:r>
          </w:p>
        </w:tc>
        <w:tc>
          <w:tcPr>
            <w:tcW w:w="491" w:type="pct"/>
          </w:tcPr>
          <w:p w14:paraId="548BE964"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168582D0"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17650801" w14:textId="77777777" w:rsidTr="00630761">
        <w:trPr>
          <w:cantSplit/>
          <w:trHeight w:val="207"/>
        </w:trPr>
        <w:tc>
          <w:tcPr>
            <w:tcW w:w="354" w:type="pct"/>
            <w:vMerge/>
            <w:shd w:val="clear" w:color="auto" w:fill="D9E2F3" w:themeFill="accent1" w:themeFillTint="33"/>
          </w:tcPr>
          <w:p w14:paraId="3CB4317C" w14:textId="77777777" w:rsidR="00547B72" w:rsidRPr="000E342B" w:rsidRDefault="00547B72" w:rsidP="00630761">
            <w:pPr>
              <w:spacing w:before="0"/>
              <w:rPr>
                <w:lang w:eastAsia="ja-JP"/>
              </w:rPr>
            </w:pPr>
          </w:p>
        </w:tc>
        <w:tc>
          <w:tcPr>
            <w:tcW w:w="2444" w:type="pct"/>
            <w:vMerge/>
          </w:tcPr>
          <w:p w14:paraId="67DB301F" w14:textId="77777777" w:rsidR="00547B72" w:rsidRPr="000E342B" w:rsidRDefault="00547B72" w:rsidP="00630761">
            <w:pPr>
              <w:spacing w:before="0"/>
            </w:pPr>
          </w:p>
        </w:tc>
        <w:tc>
          <w:tcPr>
            <w:tcW w:w="473" w:type="pct"/>
            <w:shd w:val="clear" w:color="auto" w:fill="D9E2F3" w:themeFill="accent1" w:themeFillTint="33"/>
          </w:tcPr>
          <w:p w14:paraId="5ED1F970" w14:textId="77777777" w:rsidR="00547B72" w:rsidRPr="000E342B" w:rsidRDefault="00547B72" w:rsidP="00630761">
            <w:pPr>
              <w:spacing w:before="0"/>
            </w:pPr>
            <w:r w:rsidRPr="000E342B">
              <w:t>245(4)</w:t>
            </w:r>
          </w:p>
        </w:tc>
        <w:tc>
          <w:tcPr>
            <w:tcW w:w="384" w:type="pct"/>
            <w:shd w:val="clear" w:color="auto" w:fill="D9D9D9" w:themeFill="background1" w:themeFillShade="D9"/>
          </w:tcPr>
          <w:p w14:paraId="385B3845" w14:textId="77777777" w:rsidR="00547B72" w:rsidRPr="000E342B" w:rsidRDefault="00547B72" w:rsidP="00630761">
            <w:pPr>
              <w:spacing w:before="0"/>
              <w:jc w:val="center"/>
            </w:pPr>
            <w:r w:rsidRPr="000E342B">
              <w:t>-</w:t>
            </w:r>
          </w:p>
        </w:tc>
        <w:tc>
          <w:tcPr>
            <w:tcW w:w="424" w:type="pct"/>
          </w:tcPr>
          <w:p w14:paraId="1E8A8F34"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44A47317" w14:textId="77777777" w:rsidR="00547B72" w:rsidRPr="000E342B" w:rsidRDefault="00547B72" w:rsidP="00630761">
            <w:pPr>
              <w:spacing w:before="0"/>
              <w:jc w:val="center"/>
              <w:rPr>
                <w:lang w:eastAsia="ja-JP"/>
              </w:rPr>
            </w:pPr>
            <w:r w:rsidRPr="000E342B">
              <w:rPr>
                <w:lang w:eastAsia="ja-JP"/>
              </w:rPr>
              <w:t>300 pu</w:t>
            </w:r>
          </w:p>
          <w:p w14:paraId="73E011D8" w14:textId="77777777" w:rsidR="00547B72" w:rsidRPr="000E342B" w:rsidRDefault="00547B72" w:rsidP="00630761">
            <w:pPr>
              <w:spacing w:before="0"/>
              <w:jc w:val="center"/>
              <w:rPr>
                <w:lang w:eastAsia="ja-JP"/>
              </w:rPr>
            </w:pPr>
            <w:r w:rsidRPr="000E342B">
              <w:rPr>
                <w:lang w:eastAsia="ja-JP"/>
              </w:rPr>
              <w:t>$66,600</w:t>
            </w:r>
          </w:p>
        </w:tc>
        <w:tc>
          <w:tcPr>
            <w:tcW w:w="491" w:type="pct"/>
          </w:tcPr>
          <w:p w14:paraId="76197929"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4A4A1719"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5A758847" w14:textId="77777777" w:rsidTr="00630761">
        <w:trPr>
          <w:cantSplit/>
          <w:trHeight w:val="386"/>
        </w:trPr>
        <w:tc>
          <w:tcPr>
            <w:tcW w:w="354" w:type="pct"/>
            <w:vMerge/>
            <w:shd w:val="clear" w:color="auto" w:fill="D9E2F3" w:themeFill="accent1" w:themeFillTint="33"/>
          </w:tcPr>
          <w:p w14:paraId="19F0D3C0" w14:textId="77777777" w:rsidR="00547B72" w:rsidRPr="000E342B" w:rsidRDefault="00547B72" w:rsidP="00630761">
            <w:pPr>
              <w:spacing w:before="0"/>
              <w:rPr>
                <w:lang w:eastAsia="ja-JP"/>
              </w:rPr>
            </w:pPr>
          </w:p>
        </w:tc>
        <w:tc>
          <w:tcPr>
            <w:tcW w:w="2444" w:type="pct"/>
            <w:vMerge/>
          </w:tcPr>
          <w:p w14:paraId="46F827DE" w14:textId="77777777" w:rsidR="00547B72" w:rsidRPr="000E342B" w:rsidRDefault="00547B72" w:rsidP="00630761">
            <w:pPr>
              <w:spacing w:before="0"/>
            </w:pPr>
          </w:p>
        </w:tc>
        <w:tc>
          <w:tcPr>
            <w:tcW w:w="473" w:type="pct"/>
            <w:shd w:val="clear" w:color="auto" w:fill="D9E2F3" w:themeFill="accent1" w:themeFillTint="33"/>
          </w:tcPr>
          <w:p w14:paraId="391E558D" w14:textId="77777777" w:rsidR="00547B72" w:rsidRPr="000E342B" w:rsidRDefault="00547B72" w:rsidP="00630761">
            <w:pPr>
              <w:spacing w:before="0"/>
            </w:pPr>
            <w:r w:rsidRPr="000E342B">
              <w:t>245(5)</w:t>
            </w:r>
          </w:p>
        </w:tc>
        <w:tc>
          <w:tcPr>
            <w:tcW w:w="384" w:type="pct"/>
            <w:shd w:val="clear" w:color="auto" w:fill="D9D9D9" w:themeFill="background1" w:themeFillShade="D9"/>
          </w:tcPr>
          <w:p w14:paraId="5BC4DD42" w14:textId="77777777" w:rsidR="00547B72" w:rsidRPr="000E342B" w:rsidRDefault="00547B72" w:rsidP="00630761">
            <w:pPr>
              <w:spacing w:before="0"/>
              <w:jc w:val="center"/>
            </w:pPr>
            <w:r w:rsidRPr="000E342B">
              <w:t>120 pu</w:t>
            </w:r>
          </w:p>
          <w:p w14:paraId="2A69216B" w14:textId="77777777" w:rsidR="00547B72" w:rsidRPr="000E342B" w:rsidRDefault="00547B72" w:rsidP="00630761">
            <w:pPr>
              <w:spacing w:before="0"/>
              <w:jc w:val="center"/>
            </w:pPr>
            <w:r w:rsidRPr="000E342B">
              <w:rPr>
                <w:lang w:eastAsia="ja-JP"/>
              </w:rPr>
              <w:t>$26,640</w:t>
            </w:r>
          </w:p>
        </w:tc>
        <w:tc>
          <w:tcPr>
            <w:tcW w:w="424" w:type="pct"/>
          </w:tcPr>
          <w:p w14:paraId="1E33C3B0" w14:textId="77777777" w:rsidR="00547B72" w:rsidRPr="000E342B" w:rsidRDefault="00547B72" w:rsidP="00630761">
            <w:pPr>
              <w:spacing w:before="0"/>
              <w:jc w:val="center"/>
              <w:rPr>
                <w:lang w:eastAsia="ja-JP"/>
              </w:rPr>
            </w:pPr>
            <w:r w:rsidRPr="000E342B">
              <w:rPr>
                <w:lang w:eastAsia="ja-JP"/>
              </w:rPr>
              <w:t>300 pu</w:t>
            </w:r>
          </w:p>
          <w:p w14:paraId="42E70B28"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34A3DDAA" w14:textId="77777777" w:rsidR="00547B72" w:rsidRPr="000E342B" w:rsidRDefault="00547B72" w:rsidP="00630761">
            <w:pPr>
              <w:spacing w:before="0"/>
              <w:jc w:val="center"/>
              <w:rPr>
                <w:lang w:eastAsia="ja-JP"/>
              </w:rPr>
            </w:pPr>
            <w:r w:rsidRPr="000E342B">
              <w:rPr>
                <w:lang w:eastAsia="ja-JP"/>
              </w:rPr>
              <w:t>-</w:t>
            </w:r>
          </w:p>
        </w:tc>
        <w:tc>
          <w:tcPr>
            <w:tcW w:w="491" w:type="pct"/>
          </w:tcPr>
          <w:p w14:paraId="0D7B9E53" w14:textId="77777777" w:rsidR="00547B72" w:rsidRPr="000E342B" w:rsidRDefault="00547B72" w:rsidP="00630761">
            <w:pPr>
              <w:spacing w:before="0"/>
              <w:jc w:val="center"/>
              <w:rPr>
                <w:lang w:eastAsia="ja-JP"/>
              </w:rPr>
            </w:pPr>
            <w:r w:rsidRPr="000E342B">
              <w:rPr>
                <w:lang w:eastAsia="ja-JP"/>
              </w:rPr>
              <w:t>-</w:t>
            </w:r>
          </w:p>
        </w:tc>
      </w:tr>
      <w:tr w:rsidR="00547B72" w:rsidRPr="000E342B" w14:paraId="15784EC4" w14:textId="77777777" w:rsidTr="00630761">
        <w:trPr>
          <w:cantSplit/>
          <w:trHeight w:val="273"/>
        </w:trPr>
        <w:tc>
          <w:tcPr>
            <w:tcW w:w="354" w:type="pct"/>
            <w:vMerge w:val="restart"/>
            <w:shd w:val="clear" w:color="auto" w:fill="D9E2F3" w:themeFill="accent1" w:themeFillTint="33"/>
          </w:tcPr>
          <w:p w14:paraId="69F9F97C" w14:textId="77777777" w:rsidR="00547B72" w:rsidRPr="000E342B" w:rsidRDefault="00547B72" w:rsidP="00630761">
            <w:pPr>
              <w:spacing w:before="0"/>
              <w:rPr>
                <w:lang w:eastAsia="ja-JP"/>
              </w:rPr>
            </w:pPr>
            <w:r>
              <w:rPr>
                <w:lang w:eastAsia="ja-JP"/>
              </w:rPr>
              <w:t>246</w:t>
            </w:r>
          </w:p>
        </w:tc>
        <w:tc>
          <w:tcPr>
            <w:tcW w:w="2444" w:type="pct"/>
            <w:vMerge w:val="restart"/>
          </w:tcPr>
          <w:p w14:paraId="35E50741" w14:textId="77777777" w:rsidR="00547B72" w:rsidRPr="000E342B" w:rsidRDefault="00547B72" w:rsidP="00630761">
            <w:pPr>
              <w:spacing w:before="0"/>
            </w:pPr>
            <w:r w:rsidRPr="000E342B">
              <w:t xml:space="preserve">Vessel </w:t>
            </w:r>
            <w:r>
              <w:t xml:space="preserve">that is </w:t>
            </w:r>
            <w:r w:rsidRPr="000E342B">
              <w:t>subject to biosecurity control must be brought to relevant biosecurity entry point (if any) at first point of entry</w:t>
            </w:r>
            <w:r>
              <w:t>.</w:t>
            </w:r>
          </w:p>
        </w:tc>
        <w:tc>
          <w:tcPr>
            <w:tcW w:w="473" w:type="pct"/>
            <w:shd w:val="clear" w:color="auto" w:fill="D9E2F3" w:themeFill="accent1" w:themeFillTint="33"/>
          </w:tcPr>
          <w:p w14:paraId="2E541019" w14:textId="77777777" w:rsidR="00547B72" w:rsidRPr="000E342B" w:rsidRDefault="00547B72" w:rsidP="00630761">
            <w:pPr>
              <w:spacing w:before="0"/>
            </w:pPr>
            <w:r w:rsidRPr="000E342B">
              <w:t>246(2)</w:t>
            </w:r>
          </w:p>
        </w:tc>
        <w:tc>
          <w:tcPr>
            <w:tcW w:w="384" w:type="pct"/>
            <w:shd w:val="clear" w:color="auto" w:fill="D9D9D9" w:themeFill="background1" w:themeFillShade="D9"/>
          </w:tcPr>
          <w:p w14:paraId="69FA4D7F" w14:textId="77777777" w:rsidR="00547B72" w:rsidRPr="000E342B" w:rsidRDefault="00547B72" w:rsidP="00630761">
            <w:pPr>
              <w:spacing w:before="0"/>
              <w:jc w:val="center"/>
            </w:pPr>
            <w:r w:rsidRPr="000E342B">
              <w:t>-</w:t>
            </w:r>
          </w:p>
        </w:tc>
        <w:tc>
          <w:tcPr>
            <w:tcW w:w="424" w:type="pct"/>
          </w:tcPr>
          <w:p w14:paraId="427BE6BD"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264FC631" w14:textId="77777777" w:rsidR="00547B72" w:rsidRPr="000E342B" w:rsidRDefault="00547B72" w:rsidP="00630761">
            <w:pPr>
              <w:spacing w:before="0"/>
              <w:jc w:val="center"/>
              <w:rPr>
                <w:lang w:eastAsia="ja-JP"/>
              </w:rPr>
            </w:pPr>
            <w:r w:rsidRPr="000E342B">
              <w:rPr>
                <w:lang w:eastAsia="ja-JP"/>
              </w:rPr>
              <w:t>300 pu</w:t>
            </w:r>
          </w:p>
          <w:p w14:paraId="5D72FDFF" w14:textId="77777777" w:rsidR="00547B72" w:rsidRPr="000E342B" w:rsidRDefault="00547B72" w:rsidP="00630761">
            <w:pPr>
              <w:spacing w:before="0"/>
              <w:jc w:val="center"/>
              <w:rPr>
                <w:lang w:eastAsia="ja-JP"/>
              </w:rPr>
            </w:pPr>
            <w:r w:rsidRPr="000E342B">
              <w:rPr>
                <w:lang w:eastAsia="ja-JP"/>
              </w:rPr>
              <w:t>$66,600</w:t>
            </w:r>
          </w:p>
        </w:tc>
        <w:tc>
          <w:tcPr>
            <w:tcW w:w="491" w:type="pct"/>
          </w:tcPr>
          <w:p w14:paraId="1F870252"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1970BFBC"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128E3FF9" w14:textId="77777777" w:rsidTr="00630761">
        <w:trPr>
          <w:cantSplit/>
          <w:trHeight w:val="451"/>
        </w:trPr>
        <w:tc>
          <w:tcPr>
            <w:tcW w:w="354" w:type="pct"/>
            <w:vMerge/>
            <w:shd w:val="clear" w:color="auto" w:fill="D9E2F3" w:themeFill="accent1" w:themeFillTint="33"/>
          </w:tcPr>
          <w:p w14:paraId="437262E9" w14:textId="77777777" w:rsidR="00547B72" w:rsidRPr="000E342B" w:rsidRDefault="00547B72" w:rsidP="00630761">
            <w:pPr>
              <w:spacing w:before="0"/>
              <w:rPr>
                <w:lang w:eastAsia="ja-JP"/>
              </w:rPr>
            </w:pPr>
          </w:p>
        </w:tc>
        <w:tc>
          <w:tcPr>
            <w:tcW w:w="2444" w:type="pct"/>
            <w:vMerge/>
          </w:tcPr>
          <w:p w14:paraId="164956D8" w14:textId="77777777" w:rsidR="00547B72" w:rsidRPr="000E342B" w:rsidRDefault="00547B72" w:rsidP="00630761">
            <w:pPr>
              <w:spacing w:before="0"/>
            </w:pPr>
          </w:p>
        </w:tc>
        <w:tc>
          <w:tcPr>
            <w:tcW w:w="473" w:type="pct"/>
            <w:shd w:val="clear" w:color="auto" w:fill="D9E2F3" w:themeFill="accent1" w:themeFillTint="33"/>
          </w:tcPr>
          <w:p w14:paraId="169559EA" w14:textId="77777777" w:rsidR="00547B72" w:rsidRPr="000E342B" w:rsidRDefault="00547B72" w:rsidP="00630761">
            <w:pPr>
              <w:spacing w:before="0"/>
            </w:pPr>
            <w:r w:rsidRPr="000E342B">
              <w:t>246(3)</w:t>
            </w:r>
          </w:p>
        </w:tc>
        <w:tc>
          <w:tcPr>
            <w:tcW w:w="384" w:type="pct"/>
            <w:shd w:val="clear" w:color="auto" w:fill="D9D9D9" w:themeFill="background1" w:themeFillShade="D9"/>
          </w:tcPr>
          <w:p w14:paraId="7AA71762" w14:textId="77777777" w:rsidR="00547B72" w:rsidRPr="000E342B" w:rsidRDefault="00547B72" w:rsidP="00630761">
            <w:pPr>
              <w:spacing w:before="0"/>
              <w:jc w:val="center"/>
            </w:pPr>
            <w:r w:rsidRPr="000E342B">
              <w:t>-</w:t>
            </w:r>
          </w:p>
        </w:tc>
        <w:tc>
          <w:tcPr>
            <w:tcW w:w="424" w:type="pct"/>
          </w:tcPr>
          <w:p w14:paraId="7738FF56"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60A88671" w14:textId="77777777" w:rsidR="00547B72" w:rsidRPr="000E342B" w:rsidRDefault="00547B72" w:rsidP="00630761">
            <w:pPr>
              <w:spacing w:before="0"/>
              <w:jc w:val="center"/>
              <w:rPr>
                <w:lang w:eastAsia="ja-JP"/>
              </w:rPr>
            </w:pPr>
            <w:r w:rsidRPr="000E342B">
              <w:rPr>
                <w:lang w:eastAsia="ja-JP"/>
              </w:rPr>
              <w:t>300 pu</w:t>
            </w:r>
          </w:p>
          <w:p w14:paraId="3C3A9529" w14:textId="77777777" w:rsidR="00547B72" w:rsidRPr="000E342B" w:rsidRDefault="00547B72" w:rsidP="00630761">
            <w:pPr>
              <w:spacing w:before="0"/>
              <w:jc w:val="center"/>
              <w:rPr>
                <w:lang w:eastAsia="ja-JP"/>
              </w:rPr>
            </w:pPr>
            <w:r w:rsidRPr="000E342B">
              <w:rPr>
                <w:lang w:eastAsia="ja-JP"/>
              </w:rPr>
              <w:t>$66,600</w:t>
            </w:r>
          </w:p>
        </w:tc>
        <w:tc>
          <w:tcPr>
            <w:tcW w:w="491" w:type="pct"/>
          </w:tcPr>
          <w:p w14:paraId="2E792641"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78BD55B7"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05400E8C" w14:textId="77777777" w:rsidTr="00630761">
        <w:trPr>
          <w:cantSplit/>
          <w:trHeight w:val="66"/>
        </w:trPr>
        <w:tc>
          <w:tcPr>
            <w:tcW w:w="354" w:type="pct"/>
            <w:vMerge/>
            <w:shd w:val="clear" w:color="auto" w:fill="D9E2F3" w:themeFill="accent1" w:themeFillTint="33"/>
          </w:tcPr>
          <w:p w14:paraId="7638FBE9" w14:textId="77777777" w:rsidR="00547B72" w:rsidRPr="000E342B" w:rsidRDefault="00547B72" w:rsidP="00630761">
            <w:pPr>
              <w:spacing w:before="0"/>
              <w:rPr>
                <w:lang w:eastAsia="ja-JP"/>
              </w:rPr>
            </w:pPr>
          </w:p>
        </w:tc>
        <w:tc>
          <w:tcPr>
            <w:tcW w:w="2444" w:type="pct"/>
            <w:vMerge/>
          </w:tcPr>
          <w:p w14:paraId="03250C4A" w14:textId="77777777" w:rsidR="00547B72" w:rsidRPr="000E342B" w:rsidRDefault="00547B72" w:rsidP="00630761">
            <w:pPr>
              <w:spacing w:before="0"/>
            </w:pPr>
          </w:p>
        </w:tc>
        <w:tc>
          <w:tcPr>
            <w:tcW w:w="473" w:type="pct"/>
            <w:shd w:val="clear" w:color="auto" w:fill="D9E2F3" w:themeFill="accent1" w:themeFillTint="33"/>
          </w:tcPr>
          <w:p w14:paraId="3F552310" w14:textId="77777777" w:rsidR="00547B72" w:rsidRPr="000E342B" w:rsidRDefault="00547B72" w:rsidP="00630761">
            <w:pPr>
              <w:spacing w:before="0"/>
            </w:pPr>
            <w:r w:rsidRPr="000E342B">
              <w:t>246(4)</w:t>
            </w:r>
          </w:p>
        </w:tc>
        <w:tc>
          <w:tcPr>
            <w:tcW w:w="384" w:type="pct"/>
            <w:shd w:val="clear" w:color="auto" w:fill="D9D9D9" w:themeFill="background1" w:themeFillShade="D9"/>
          </w:tcPr>
          <w:p w14:paraId="402EEEC9" w14:textId="77777777" w:rsidR="00547B72" w:rsidRPr="000E342B" w:rsidRDefault="00547B72" w:rsidP="00630761">
            <w:pPr>
              <w:spacing w:before="0"/>
              <w:jc w:val="center"/>
            </w:pPr>
            <w:r w:rsidRPr="000E342B">
              <w:t>-</w:t>
            </w:r>
          </w:p>
        </w:tc>
        <w:tc>
          <w:tcPr>
            <w:tcW w:w="424" w:type="pct"/>
          </w:tcPr>
          <w:p w14:paraId="638B7AEC"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78F78AC5" w14:textId="77777777" w:rsidR="00547B72" w:rsidRPr="000E342B" w:rsidRDefault="00547B72" w:rsidP="00630761">
            <w:pPr>
              <w:spacing w:before="0"/>
              <w:jc w:val="center"/>
              <w:rPr>
                <w:lang w:eastAsia="ja-JP"/>
              </w:rPr>
            </w:pPr>
            <w:r w:rsidRPr="000E342B">
              <w:rPr>
                <w:lang w:eastAsia="ja-JP"/>
              </w:rPr>
              <w:t>300 pu</w:t>
            </w:r>
          </w:p>
          <w:p w14:paraId="4B939C01" w14:textId="77777777" w:rsidR="00547B72" w:rsidRPr="000E342B" w:rsidRDefault="00547B72" w:rsidP="00630761">
            <w:pPr>
              <w:spacing w:before="0"/>
              <w:jc w:val="center"/>
              <w:rPr>
                <w:lang w:eastAsia="ja-JP"/>
              </w:rPr>
            </w:pPr>
            <w:r w:rsidRPr="000E342B">
              <w:rPr>
                <w:lang w:eastAsia="ja-JP"/>
              </w:rPr>
              <w:t>$66,600</w:t>
            </w:r>
          </w:p>
        </w:tc>
        <w:tc>
          <w:tcPr>
            <w:tcW w:w="491" w:type="pct"/>
          </w:tcPr>
          <w:p w14:paraId="78D4B6B0"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13718676"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46297EFC" w14:textId="77777777" w:rsidTr="00630761">
        <w:trPr>
          <w:cantSplit/>
          <w:trHeight w:val="310"/>
        </w:trPr>
        <w:tc>
          <w:tcPr>
            <w:tcW w:w="354" w:type="pct"/>
            <w:vMerge/>
            <w:shd w:val="clear" w:color="auto" w:fill="D9E2F3" w:themeFill="accent1" w:themeFillTint="33"/>
          </w:tcPr>
          <w:p w14:paraId="057AD4C0" w14:textId="77777777" w:rsidR="00547B72" w:rsidRPr="000E342B" w:rsidRDefault="00547B72" w:rsidP="00630761">
            <w:pPr>
              <w:spacing w:before="0"/>
              <w:rPr>
                <w:lang w:eastAsia="ja-JP"/>
              </w:rPr>
            </w:pPr>
          </w:p>
        </w:tc>
        <w:tc>
          <w:tcPr>
            <w:tcW w:w="2444" w:type="pct"/>
            <w:vMerge/>
          </w:tcPr>
          <w:p w14:paraId="54406C97" w14:textId="77777777" w:rsidR="00547B72" w:rsidRPr="000E342B" w:rsidRDefault="00547B72" w:rsidP="00630761">
            <w:pPr>
              <w:spacing w:before="0"/>
            </w:pPr>
          </w:p>
        </w:tc>
        <w:tc>
          <w:tcPr>
            <w:tcW w:w="473" w:type="pct"/>
            <w:shd w:val="clear" w:color="auto" w:fill="D9E2F3" w:themeFill="accent1" w:themeFillTint="33"/>
          </w:tcPr>
          <w:p w14:paraId="4692C874" w14:textId="77777777" w:rsidR="00547B72" w:rsidRPr="000E342B" w:rsidRDefault="00547B72" w:rsidP="00630761">
            <w:pPr>
              <w:spacing w:before="0"/>
            </w:pPr>
            <w:r w:rsidRPr="000E342B">
              <w:t>246(5)</w:t>
            </w:r>
          </w:p>
        </w:tc>
        <w:tc>
          <w:tcPr>
            <w:tcW w:w="384" w:type="pct"/>
            <w:shd w:val="clear" w:color="auto" w:fill="D9D9D9" w:themeFill="background1" w:themeFillShade="D9"/>
          </w:tcPr>
          <w:p w14:paraId="0820DDB0" w14:textId="77777777" w:rsidR="00547B72" w:rsidRPr="000E342B" w:rsidRDefault="00547B72" w:rsidP="00630761">
            <w:pPr>
              <w:spacing w:before="0"/>
              <w:jc w:val="center"/>
            </w:pPr>
            <w:r w:rsidRPr="000E342B">
              <w:t>120 pu</w:t>
            </w:r>
          </w:p>
          <w:p w14:paraId="6FE570B7" w14:textId="77777777" w:rsidR="00547B72" w:rsidRPr="000E342B" w:rsidRDefault="00547B72" w:rsidP="00630761">
            <w:pPr>
              <w:spacing w:before="0"/>
              <w:jc w:val="center"/>
            </w:pPr>
            <w:r w:rsidRPr="000E342B">
              <w:rPr>
                <w:lang w:eastAsia="ja-JP"/>
              </w:rPr>
              <w:t>$26,640</w:t>
            </w:r>
          </w:p>
        </w:tc>
        <w:tc>
          <w:tcPr>
            <w:tcW w:w="424" w:type="pct"/>
          </w:tcPr>
          <w:p w14:paraId="50221D22" w14:textId="77777777" w:rsidR="00547B72" w:rsidRPr="000E342B" w:rsidRDefault="00547B72" w:rsidP="00630761">
            <w:pPr>
              <w:spacing w:before="0"/>
              <w:jc w:val="center"/>
              <w:rPr>
                <w:lang w:eastAsia="ja-JP"/>
              </w:rPr>
            </w:pPr>
            <w:r w:rsidRPr="000E342B">
              <w:rPr>
                <w:lang w:eastAsia="ja-JP"/>
              </w:rPr>
              <w:t>300 pu</w:t>
            </w:r>
          </w:p>
          <w:p w14:paraId="47C4768B"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5704A07D" w14:textId="77777777" w:rsidR="00547B72" w:rsidRPr="000E342B" w:rsidRDefault="00547B72" w:rsidP="00630761">
            <w:pPr>
              <w:spacing w:before="0"/>
              <w:jc w:val="center"/>
              <w:rPr>
                <w:lang w:eastAsia="ja-JP"/>
              </w:rPr>
            </w:pPr>
            <w:r w:rsidRPr="000E342B">
              <w:rPr>
                <w:lang w:eastAsia="ja-JP"/>
              </w:rPr>
              <w:t>-</w:t>
            </w:r>
          </w:p>
        </w:tc>
        <w:tc>
          <w:tcPr>
            <w:tcW w:w="491" w:type="pct"/>
          </w:tcPr>
          <w:p w14:paraId="678DCE20" w14:textId="77777777" w:rsidR="00547B72" w:rsidRPr="000E342B" w:rsidRDefault="00547B72" w:rsidP="00630761">
            <w:pPr>
              <w:spacing w:before="0"/>
              <w:jc w:val="center"/>
              <w:rPr>
                <w:lang w:eastAsia="ja-JP"/>
              </w:rPr>
            </w:pPr>
            <w:r w:rsidRPr="000E342B">
              <w:rPr>
                <w:lang w:eastAsia="ja-JP"/>
              </w:rPr>
              <w:t>-</w:t>
            </w:r>
          </w:p>
        </w:tc>
      </w:tr>
      <w:tr w:rsidR="00547B72" w:rsidRPr="000E342B" w14:paraId="15F3FAAE" w14:textId="77777777" w:rsidTr="00630761">
        <w:trPr>
          <w:cantSplit/>
          <w:trHeight w:val="66"/>
        </w:trPr>
        <w:tc>
          <w:tcPr>
            <w:tcW w:w="354" w:type="pct"/>
            <w:vMerge w:val="restart"/>
            <w:shd w:val="clear" w:color="auto" w:fill="D9E2F3" w:themeFill="accent1" w:themeFillTint="33"/>
          </w:tcPr>
          <w:p w14:paraId="40F96FD3" w14:textId="77777777" w:rsidR="00547B72" w:rsidRPr="000E342B" w:rsidRDefault="00547B72" w:rsidP="00630761">
            <w:pPr>
              <w:spacing w:before="0"/>
              <w:rPr>
                <w:lang w:eastAsia="ja-JP"/>
              </w:rPr>
            </w:pPr>
            <w:r w:rsidRPr="000E342B">
              <w:rPr>
                <w:lang w:eastAsia="ja-JP"/>
              </w:rPr>
              <w:t>247</w:t>
            </w:r>
          </w:p>
        </w:tc>
        <w:tc>
          <w:tcPr>
            <w:tcW w:w="2444" w:type="pct"/>
            <w:vMerge w:val="restart"/>
          </w:tcPr>
          <w:p w14:paraId="3C43C92B" w14:textId="77777777" w:rsidR="00547B72" w:rsidRPr="000E342B" w:rsidRDefault="00547B72" w:rsidP="00630761">
            <w:pPr>
              <w:spacing w:before="0"/>
            </w:pPr>
            <w:r w:rsidRPr="000E342B">
              <w:t xml:space="preserve">Person in charge or the operator of a vessel </w:t>
            </w:r>
            <w:r>
              <w:t xml:space="preserve">that has been given permission to be moored at a port that is not a first point of entry for the vessel </w:t>
            </w:r>
            <w:r w:rsidRPr="000E342B">
              <w:t xml:space="preserve">must comply with conditions specified in the notice </w:t>
            </w:r>
            <w:r>
              <w:t xml:space="preserve">giving this </w:t>
            </w:r>
            <w:r w:rsidRPr="000E342B">
              <w:t>permission.</w:t>
            </w:r>
          </w:p>
        </w:tc>
        <w:tc>
          <w:tcPr>
            <w:tcW w:w="473" w:type="pct"/>
            <w:shd w:val="clear" w:color="auto" w:fill="D9E2F3" w:themeFill="accent1" w:themeFillTint="33"/>
          </w:tcPr>
          <w:p w14:paraId="0F895675" w14:textId="77777777" w:rsidR="00547B72" w:rsidRPr="000E342B" w:rsidRDefault="00547B72" w:rsidP="00630761">
            <w:pPr>
              <w:spacing w:before="0"/>
            </w:pPr>
            <w:r w:rsidRPr="000E342B">
              <w:t>247(4)</w:t>
            </w:r>
          </w:p>
        </w:tc>
        <w:tc>
          <w:tcPr>
            <w:tcW w:w="384" w:type="pct"/>
            <w:shd w:val="clear" w:color="auto" w:fill="D9D9D9" w:themeFill="background1" w:themeFillShade="D9"/>
          </w:tcPr>
          <w:p w14:paraId="22C68632" w14:textId="77777777" w:rsidR="00547B72" w:rsidRPr="000E342B" w:rsidRDefault="00547B72" w:rsidP="00630761">
            <w:pPr>
              <w:spacing w:before="0"/>
              <w:jc w:val="center"/>
            </w:pPr>
            <w:r w:rsidRPr="000E342B">
              <w:t>-</w:t>
            </w:r>
          </w:p>
        </w:tc>
        <w:tc>
          <w:tcPr>
            <w:tcW w:w="424" w:type="pct"/>
          </w:tcPr>
          <w:p w14:paraId="3516EEC7"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4BD30E20" w14:textId="77777777" w:rsidR="00547B72" w:rsidRPr="000E342B" w:rsidRDefault="00547B72" w:rsidP="00630761">
            <w:pPr>
              <w:spacing w:before="0"/>
              <w:jc w:val="center"/>
              <w:rPr>
                <w:lang w:eastAsia="ja-JP"/>
              </w:rPr>
            </w:pPr>
            <w:r w:rsidRPr="000E342B">
              <w:rPr>
                <w:lang w:eastAsia="ja-JP"/>
              </w:rPr>
              <w:t>300 pu</w:t>
            </w:r>
          </w:p>
          <w:p w14:paraId="7AD1C68D" w14:textId="77777777" w:rsidR="00547B72" w:rsidRPr="000E342B" w:rsidRDefault="00547B72" w:rsidP="00630761">
            <w:pPr>
              <w:spacing w:before="0"/>
              <w:jc w:val="center"/>
              <w:rPr>
                <w:lang w:eastAsia="ja-JP"/>
              </w:rPr>
            </w:pPr>
            <w:r w:rsidRPr="000E342B">
              <w:rPr>
                <w:lang w:eastAsia="ja-JP"/>
              </w:rPr>
              <w:t>$66,600</w:t>
            </w:r>
          </w:p>
        </w:tc>
        <w:tc>
          <w:tcPr>
            <w:tcW w:w="491" w:type="pct"/>
          </w:tcPr>
          <w:p w14:paraId="5CBB02C3"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0D65D047"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253F6930" w14:textId="77777777" w:rsidTr="00630761">
        <w:trPr>
          <w:cantSplit/>
          <w:trHeight w:val="56"/>
        </w:trPr>
        <w:tc>
          <w:tcPr>
            <w:tcW w:w="354" w:type="pct"/>
            <w:vMerge/>
            <w:shd w:val="clear" w:color="auto" w:fill="D9E2F3" w:themeFill="accent1" w:themeFillTint="33"/>
          </w:tcPr>
          <w:p w14:paraId="4BE4923E" w14:textId="77777777" w:rsidR="00547B72" w:rsidRPr="000E342B" w:rsidRDefault="00547B72" w:rsidP="00630761">
            <w:pPr>
              <w:spacing w:before="0"/>
              <w:rPr>
                <w:lang w:eastAsia="ja-JP"/>
              </w:rPr>
            </w:pPr>
          </w:p>
        </w:tc>
        <w:tc>
          <w:tcPr>
            <w:tcW w:w="2444" w:type="pct"/>
            <w:vMerge/>
          </w:tcPr>
          <w:p w14:paraId="1ACB34BC" w14:textId="77777777" w:rsidR="00547B72" w:rsidRPr="000E342B" w:rsidRDefault="00547B72" w:rsidP="00630761">
            <w:pPr>
              <w:spacing w:before="0"/>
            </w:pPr>
          </w:p>
        </w:tc>
        <w:tc>
          <w:tcPr>
            <w:tcW w:w="473" w:type="pct"/>
            <w:shd w:val="clear" w:color="auto" w:fill="D9E2F3" w:themeFill="accent1" w:themeFillTint="33"/>
          </w:tcPr>
          <w:p w14:paraId="00B2CC78" w14:textId="77777777" w:rsidR="00547B72" w:rsidRPr="000E342B" w:rsidRDefault="00547B72" w:rsidP="00630761">
            <w:pPr>
              <w:spacing w:before="0"/>
            </w:pPr>
            <w:r w:rsidRPr="000E342B">
              <w:t>247(5)</w:t>
            </w:r>
          </w:p>
        </w:tc>
        <w:tc>
          <w:tcPr>
            <w:tcW w:w="384" w:type="pct"/>
            <w:shd w:val="clear" w:color="auto" w:fill="D9D9D9" w:themeFill="background1" w:themeFillShade="D9"/>
          </w:tcPr>
          <w:p w14:paraId="665AC599" w14:textId="77777777" w:rsidR="00547B72" w:rsidRPr="000E342B" w:rsidRDefault="00547B72" w:rsidP="00630761">
            <w:pPr>
              <w:spacing w:before="0"/>
              <w:jc w:val="center"/>
            </w:pPr>
            <w:r w:rsidRPr="000E342B">
              <w:t>-</w:t>
            </w:r>
          </w:p>
        </w:tc>
        <w:tc>
          <w:tcPr>
            <w:tcW w:w="424" w:type="pct"/>
          </w:tcPr>
          <w:p w14:paraId="435B6CA7"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25642174" w14:textId="77777777" w:rsidR="00547B72" w:rsidRPr="000E342B" w:rsidRDefault="00547B72" w:rsidP="00630761">
            <w:pPr>
              <w:spacing w:before="0"/>
              <w:jc w:val="center"/>
              <w:rPr>
                <w:lang w:eastAsia="ja-JP"/>
              </w:rPr>
            </w:pPr>
            <w:r w:rsidRPr="000E342B">
              <w:rPr>
                <w:lang w:eastAsia="ja-JP"/>
              </w:rPr>
              <w:t>300 pu</w:t>
            </w:r>
          </w:p>
          <w:p w14:paraId="0D64305E" w14:textId="77777777" w:rsidR="00547B72" w:rsidRPr="000E342B" w:rsidRDefault="00547B72" w:rsidP="00630761">
            <w:pPr>
              <w:spacing w:before="0"/>
              <w:jc w:val="center"/>
              <w:rPr>
                <w:lang w:eastAsia="ja-JP"/>
              </w:rPr>
            </w:pPr>
            <w:r w:rsidRPr="000E342B">
              <w:rPr>
                <w:lang w:eastAsia="ja-JP"/>
              </w:rPr>
              <w:t>$66,600</w:t>
            </w:r>
          </w:p>
        </w:tc>
        <w:tc>
          <w:tcPr>
            <w:tcW w:w="491" w:type="pct"/>
          </w:tcPr>
          <w:p w14:paraId="57A035BA"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383A0786"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3C43960D" w14:textId="77777777" w:rsidTr="00630761">
        <w:trPr>
          <w:cantSplit/>
          <w:trHeight w:val="225"/>
        </w:trPr>
        <w:tc>
          <w:tcPr>
            <w:tcW w:w="354" w:type="pct"/>
            <w:vMerge/>
            <w:shd w:val="clear" w:color="auto" w:fill="D9E2F3" w:themeFill="accent1" w:themeFillTint="33"/>
          </w:tcPr>
          <w:p w14:paraId="0CB3112F" w14:textId="77777777" w:rsidR="00547B72" w:rsidRPr="000E342B" w:rsidRDefault="00547B72" w:rsidP="00630761">
            <w:pPr>
              <w:spacing w:before="0"/>
              <w:rPr>
                <w:lang w:eastAsia="ja-JP"/>
              </w:rPr>
            </w:pPr>
          </w:p>
        </w:tc>
        <w:tc>
          <w:tcPr>
            <w:tcW w:w="2444" w:type="pct"/>
            <w:vMerge/>
          </w:tcPr>
          <w:p w14:paraId="4CA6FB22" w14:textId="77777777" w:rsidR="00547B72" w:rsidRPr="000E342B" w:rsidRDefault="00547B72" w:rsidP="00630761">
            <w:pPr>
              <w:spacing w:before="0"/>
            </w:pPr>
          </w:p>
        </w:tc>
        <w:tc>
          <w:tcPr>
            <w:tcW w:w="473" w:type="pct"/>
            <w:shd w:val="clear" w:color="auto" w:fill="D9E2F3" w:themeFill="accent1" w:themeFillTint="33"/>
          </w:tcPr>
          <w:p w14:paraId="3CFD36FF" w14:textId="77777777" w:rsidR="00547B72" w:rsidRPr="000E342B" w:rsidRDefault="00547B72" w:rsidP="00630761">
            <w:pPr>
              <w:spacing w:before="0"/>
            </w:pPr>
            <w:r w:rsidRPr="000E342B">
              <w:t>247(6)</w:t>
            </w:r>
          </w:p>
        </w:tc>
        <w:tc>
          <w:tcPr>
            <w:tcW w:w="384" w:type="pct"/>
            <w:shd w:val="clear" w:color="auto" w:fill="D9D9D9" w:themeFill="background1" w:themeFillShade="D9"/>
          </w:tcPr>
          <w:p w14:paraId="5933A0D6" w14:textId="77777777" w:rsidR="00547B72" w:rsidRPr="000E342B" w:rsidRDefault="00547B72" w:rsidP="00630761">
            <w:pPr>
              <w:spacing w:before="0"/>
              <w:jc w:val="center"/>
            </w:pPr>
            <w:r w:rsidRPr="000E342B">
              <w:t>-</w:t>
            </w:r>
          </w:p>
        </w:tc>
        <w:tc>
          <w:tcPr>
            <w:tcW w:w="424" w:type="pct"/>
          </w:tcPr>
          <w:p w14:paraId="2CAE2788"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302F5490" w14:textId="77777777" w:rsidR="00547B72" w:rsidRPr="000E342B" w:rsidRDefault="00547B72" w:rsidP="00630761">
            <w:pPr>
              <w:spacing w:before="0"/>
              <w:jc w:val="center"/>
              <w:rPr>
                <w:lang w:eastAsia="ja-JP"/>
              </w:rPr>
            </w:pPr>
            <w:r w:rsidRPr="000E342B">
              <w:rPr>
                <w:lang w:eastAsia="ja-JP"/>
              </w:rPr>
              <w:t>300 pu</w:t>
            </w:r>
          </w:p>
          <w:p w14:paraId="22CBEF15" w14:textId="77777777" w:rsidR="00547B72" w:rsidRPr="000E342B" w:rsidRDefault="00547B72" w:rsidP="00630761">
            <w:pPr>
              <w:spacing w:before="0"/>
              <w:jc w:val="center"/>
              <w:rPr>
                <w:lang w:eastAsia="ja-JP"/>
              </w:rPr>
            </w:pPr>
            <w:r w:rsidRPr="000E342B">
              <w:rPr>
                <w:lang w:eastAsia="ja-JP"/>
              </w:rPr>
              <w:t>$66,600</w:t>
            </w:r>
          </w:p>
        </w:tc>
        <w:tc>
          <w:tcPr>
            <w:tcW w:w="491" w:type="pct"/>
          </w:tcPr>
          <w:p w14:paraId="049FB925"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7E8E82F9"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4A4C9E48" w14:textId="77777777" w:rsidTr="00630761">
        <w:trPr>
          <w:cantSplit/>
          <w:trHeight w:val="133"/>
        </w:trPr>
        <w:tc>
          <w:tcPr>
            <w:tcW w:w="354" w:type="pct"/>
            <w:vMerge/>
            <w:shd w:val="clear" w:color="auto" w:fill="D9E2F3" w:themeFill="accent1" w:themeFillTint="33"/>
          </w:tcPr>
          <w:p w14:paraId="07E0337D" w14:textId="77777777" w:rsidR="00547B72" w:rsidRPr="000E342B" w:rsidRDefault="00547B72" w:rsidP="00630761">
            <w:pPr>
              <w:spacing w:before="0"/>
              <w:rPr>
                <w:lang w:eastAsia="ja-JP"/>
              </w:rPr>
            </w:pPr>
          </w:p>
        </w:tc>
        <w:tc>
          <w:tcPr>
            <w:tcW w:w="2444" w:type="pct"/>
            <w:vMerge/>
          </w:tcPr>
          <w:p w14:paraId="3F23EFD1" w14:textId="77777777" w:rsidR="00547B72" w:rsidRPr="000E342B" w:rsidRDefault="00547B72" w:rsidP="00630761">
            <w:pPr>
              <w:spacing w:before="0"/>
            </w:pPr>
          </w:p>
        </w:tc>
        <w:tc>
          <w:tcPr>
            <w:tcW w:w="473" w:type="pct"/>
            <w:shd w:val="clear" w:color="auto" w:fill="D9E2F3" w:themeFill="accent1" w:themeFillTint="33"/>
          </w:tcPr>
          <w:p w14:paraId="60B4019C" w14:textId="77777777" w:rsidR="00547B72" w:rsidRPr="000E342B" w:rsidRDefault="00547B72" w:rsidP="00630761">
            <w:pPr>
              <w:spacing w:before="0"/>
            </w:pPr>
            <w:r w:rsidRPr="000E342B">
              <w:t>247(7)</w:t>
            </w:r>
          </w:p>
        </w:tc>
        <w:tc>
          <w:tcPr>
            <w:tcW w:w="384" w:type="pct"/>
            <w:shd w:val="clear" w:color="auto" w:fill="D9D9D9" w:themeFill="background1" w:themeFillShade="D9"/>
          </w:tcPr>
          <w:p w14:paraId="74AEB1F5" w14:textId="77777777" w:rsidR="00547B72" w:rsidRPr="000E342B" w:rsidRDefault="00547B72" w:rsidP="00630761">
            <w:pPr>
              <w:spacing w:before="0"/>
              <w:jc w:val="center"/>
            </w:pPr>
            <w:r w:rsidRPr="000E342B">
              <w:t>120 pu</w:t>
            </w:r>
          </w:p>
          <w:p w14:paraId="6CEE009B" w14:textId="77777777" w:rsidR="00547B72" w:rsidRPr="000E342B" w:rsidRDefault="00547B72" w:rsidP="00630761">
            <w:pPr>
              <w:spacing w:before="0"/>
              <w:jc w:val="center"/>
            </w:pPr>
            <w:r w:rsidRPr="000E342B">
              <w:rPr>
                <w:lang w:eastAsia="ja-JP"/>
              </w:rPr>
              <w:t>$26,640</w:t>
            </w:r>
          </w:p>
        </w:tc>
        <w:tc>
          <w:tcPr>
            <w:tcW w:w="424" w:type="pct"/>
          </w:tcPr>
          <w:p w14:paraId="019A3D36" w14:textId="77777777" w:rsidR="00547B72" w:rsidRPr="000E342B" w:rsidRDefault="00547B72" w:rsidP="00630761">
            <w:pPr>
              <w:spacing w:before="0"/>
              <w:jc w:val="center"/>
              <w:rPr>
                <w:lang w:eastAsia="ja-JP"/>
              </w:rPr>
            </w:pPr>
            <w:r w:rsidRPr="000E342B">
              <w:rPr>
                <w:lang w:eastAsia="ja-JP"/>
              </w:rPr>
              <w:t>300 pu</w:t>
            </w:r>
          </w:p>
          <w:p w14:paraId="152B00AF"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2DC5F8AB" w14:textId="77777777" w:rsidR="00547B72" w:rsidRPr="000E342B" w:rsidRDefault="00547B72" w:rsidP="00630761">
            <w:pPr>
              <w:spacing w:before="0"/>
              <w:jc w:val="center"/>
              <w:rPr>
                <w:lang w:eastAsia="ja-JP"/>
              </w:rPr>
            </w:pPr>
            <w:r w:rsidRPr="000E342B">
              <w:rPr>
                <w:lang w:eastAsia="ja-JP"/>
              </w:rPr>
              <w:t>-</w:t>
            </w:r>
          </w:p>
        </w:tc>
        <w:tc>
          <w:tcPr>
            <w:tcW w:w="491" w:type="pct"/>
          </w:tcPr>
          <w:p w14:paraId="1EE174DA" w14:textId="77777777" w:rsidR="00547B72" w:rsidRPr="000E342B" w:rsidRDefault="00547B72" w:rsidP="00630761">
            <w:pPr>
              <w:spacing w:before="0"/>
              <w:jc w:val="center"/>
              <w:rPr>
                <w:lang w:eastAsia="ja-JP"/>
              </w:rPr>
            </w:pPr>
            <w:r w:rsidRPr="000E342B">
              <w:rPr>
                <w:lang w:eastAsia="ja-JP"/>
              </w:rPr>
              <w:t>-</w:t>
            </w:r>
          </w:p>
        </w:tc>
      </w:tr>
      <w:tr w:rsidR="00547B72" w:rsidRPr="000E342B" w14:paraId="0FEB52A3" w14:textId="77777777" w:rsidTr="00630761">
        <w:trPr>
          <w:cantSplit/>
          <w:trHeight w:val="56"/>
        </w:trPr>
        <w:tc>
          <w:tcPr>
            <w:tcW w:w="354" w:type="pct"/>
            <w:vMerge w:val="restart"/>
            <w:shd w:val="clear" w:color="auto" w:fill="D9E2F3" w:themeFill="accent1" w:themeFillTint="33"/>
          </w:tcPr>
          <w:p w14:paraId="7861127F" w14:textId="77777777" w:rsidR="00547B72" w:rsidRPr="000E342B" w:rsidRDefault="00547B72" w:rsidP="00630761">
            <w:pPr>
              <w:spacing w:before="0"/>
              <w:rPr>
                <w:lang w:eastAsia="ja-JP"/>
              </w:rPr>
            </w:pPr>
            <w:r w:rsidRPr="000E342B">
              <w:rPr>
                <w:lang w:eastAsia="ja-JP"/>
              </w:rPr>
              <w:t>251</w:t>
            </w:r>
          </w:p>
        </w:tc>
        <w:tc>
          <w:tcPr>
            <w:tcW w:w="2444" w:type="pct"/>
            <w:vMerge w:val="restart"/>
          </w:tcPr>
          <w:p w14:paraId="3F0F8EAB" w14:textId="77777777" w:rsidR="00547B72" w:rsidRPr="000E342B" w:rsidRDefault="00547B72" w:rsidP="00630761">
            <w:pPr>
              <w:spacing w:before="0"/>
            </w:pPr>
            <w:r w:rsidRPr="000E342B">
              <w:t>Person who is given a direction under a provision of Division 3 of Part 4 of Chapter 4 (which includes sections 248, 249 and 250) must comply with the direction.</w:t>
            </w:r>
          </w:p>
        </w:tc>
        <w:tc>
          <w:tcPr>
            <w:tcW w:w="473" w:type="pct"/>
            <w:shd w:val="clear" w:color="auto" w:fill="D9E2F3" w:themeFill="accent1" w:themeFillTint="33"/>
          </w:tcPr>
          <w:p w14:paraId="52E10BC3" w14:textId="4ED5EE07" w:rsidR="00547B72" w:rsidRPr="000E342B" w:rsidRDefault="00547B72" w:rsidP="00630761">
            <w:pPr>
              <w:spacing w:before="0"/>
            </w:pPr>
            <w:r w:rsidRPr="000E342B">
              <w:t>251(</w:t>
            </w:r>
            <w:r w:rsidR="004C1F2D">
              <w:t>2</w:t>
            </w:r>
            <w:r w:rsidRPr="000E342B">
              <w:t>)</w:t>
            </w:r>
          </w:p>
        </w:tc>
        <w:tc>
          <w:tcPr>
            <w:tcW w:w="384" w:type="pct"/>
            <w:shd w:val="clear" w:color="auto" w:fill="D9D9D9" w:themeFill="background1" w:themeFillShade="D9"/>
          </w:tcPr>
          <w:p w14:paraId="1E8D2949" w14:textId="77777777" w:rsidR="00547B72" w:rsidRPr="000E342B" w:rsidRDefault="00547B72" w:rsidP="00630761">
            <w:pPr>
              <w:spacing w:before="0"/>
              <w:jc w:val="center"/>
            </w:pPr>
            <w:r w:rsidRPr="000E342B">
              <w:t>-</w:t>
            </w:r>
          </w:p>
        </w:tc>
        <w:tc>
          <w:tcPr>
            <w:tcW w:w="424" w:type="pct"/>
          </w:tcPr>
          <w:p w14:paraId="28758926"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401B300D" w14:textId="77777777" w:rsidR="00547B72" w:rsidRPr="000E342B" w:rsidRDefault="00547B72" w:rsidP="00630761">
            <w:pPr>
              <w:spacing w:before="0"/>
              <w:jc w:val="center"/>
              <w:rPr>
                <w:lang w:eastAsia="ja-JP"/>
              </w:rPr>
            </w:pPr>
            <w:r w:rsidRPr="000E342B">
              <w:rPr>
                <w:lang w:eastAsia="ja-JP"/>
              </w:rPr>
              <w:t>300 pu</w:t>
            </w:r>
          </w:p>
          <w:p w14:paraId="6E0F33DE" w14:textId="77777777" w:rsidR="00547B72" w:rsidRPr="000E342B" w:rsidRDefault="00547B72" w:rsidP="00630761">
            <w:pPr>
              <w:spacing w:before="0"/>
              <w:jc w:val="center"/>
              <w:rPr>
                <w:lang w:eastAsia="ja-JP"/>
              </w:rPr>
            </w:pPr>
            <w:r w:rsidRPr="000E342B">
              <w:rPr>
                <w:lang w:eastAsia="ja-JP"/>
              </w:rPr>
              <w:t>$66,600</w:t>
            </w:r>
          </w:p>
        </w:tc>
        <w:tc>
          <w:tcPr>
            <w:tcW w:w="491" w:type="pct"/>
          </w:tcPr>
          <w:p w14:paraId="5845C0FC"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07096EC6"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337C54D7" w14:textId="77777777" w:rsidTr="00630761">
        <w:trPr>
          <w:cantSplit/>
          <w:trHeight w:val="77"/>
        </w:trPr>
        <w:tc>
          <w:tcPr>
            <w:tcW w:w="354" w:type="pct"/>
            <w:vMerge/>
            <w:shd w:val="clear" w:color="auto" w:fill="D9E2F3" w:themeFill="accent1" w:themeFillTint="33"/>
          </w:tcPr>
          <w:p w14:paraId="51CDED3D" w14:textId="77777777" w:rsidR="00547B72" w:rsidRPr="000E342B" w:rsidRDefault="00547B72" w:rsidP="00630761">
            <w:pPr>
              <w:spacing w:before="0"/>
              <w:rPr>
                <w:lang w:eastAsia="ja-JP"/>
              </w:rPr>
            </w:pPr>
          </w:p>
        </w:tc>
        <w:tc>
          <w:tcPr>
            <w:tcW w:w="2444" w:type="pct"/>
            <w:vMerge/>
          </w:tcPr>
          <w:p w14:paraId="64131593" w14:textId="77777777" w:rsidR="00547B72" w:rsidRPr="000E342B" w:rsidRDefault="00547B72" w:rsidP="00630761">
            <w:pPr>
              <w:spacing w:before="0"/>
            </w:pPr>
          </w:p>
        </w:tc>
        <w:tc>
          <w:tcPr>
            <w:tcW w:w="473" w:type="pct"/>
            <w:shd w:val="clear" w:color="auto" w:fill="D9E2F3" w:themeFill="accent1" w:themeFillTint="33"/>
          </w:tcPr>
          <w:p w14:paraId="4B2F8F21" w14:textId="6A9D6EE1" w:rsidR="00547B72" w:rsidRPr="000E342B" w:rsidRDefault="00547B72" w:rsidP="00630761">
            <w:pPr>
              <w:spacing w:before="0"/>
            </w:pPr>
            <w:r w:rsidRPr="000E342B">
              <w:t>251(</w:t>
            </w:r>
            <w:r w:rsidR="004C1F2D">
              <w:t>3</w:t>
            </w:r>
            <w:r w:rsidRPr="000E342B">
              <w:t>)</w:t>
            </w:r>
          </w:p>
        </w:tc>
        <w:tc>
          <w:tcPr>
            <w:tcW w:w="384" w:type="pct"/>
            <w:shd w:val="clear" w:color="auto" w:fill="D9D9D9" w:themeFill="background1" w:themeFillShade="D9"/>
          </w:tcPr>
          <w:p w14:paraId="7A92BFF3" w14:textId="77777777" w:rsidR="00547B72" w:rsidRPr="000E342B" w:rsidRDefault="00547B72" w:rsidP="00630761">
            <w:pPr>
              <w:spacing w:before="0"/>
              <w:jc w:val="center"/>
            </w:pPr>
            <w:r w:rsidRPr="000E342B">
              <w:t>120 pu</w:t>
            </w:r>
          </w:p>
          <w:p w14:paraId="6ADABABF" w14:textId="77777777" w:rsidR="00547B72" w:rsidRPr="000E342B" w:rsidRDefault="00547B72" w:rsidP="00630761">
            <w:pPr>
              <w:spacing w:before="0"/>
              <w:jc w:val="center"/>
            </w:pPr>
            <w:r w:rsidRPr="000E342B">
              <w:rPr>
                <w:lang w:eastAsia="ja-JP"/>
              </w:rPr>
              <w:t>$26,640</w:t>
            </w:r>
          </w:p>
        </w:tc>
        <w:tc>
          <w:tcPr>
            <w:tcW w:w="424" w:type="pct"/>
          </w:tcPr>
          <w:p w14:paraId="643B19C3" w14:textId="77777777" w:rsidR="00547B72" w:rsidRPr="000E342B" w:rsidRDefault="00547B72" w:rsidP="00630761">
            <w:pPr>
              <w:spacing w:before="0"/>
              <w:jc w:val="center"/>
              <w:rPr>
                <w:lang w:eastAsia="ja-JP"/>
              </w:rPr>
            </w:pPr>
            <w:r w:rsidRPr="000E342B">
              <w:rPr>
                <w:lang w:eastAsia="ja-JP"/>
              </w:rPr>
              <w:t>300 pu</w:t>
            </w:r>
          </w:p>
          <w:p w14:paraId="4A5828BA"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331F4E13" w14:textId="77777777" w:rsidR="00547B72" w:rsidRPr="000E342B" w:rsidRDefault="00547B72" w:rsidP="00630761">
            <w:pPr>
              <w:spacing w:before="0"/>
              <w:jc w:val="center"/>
              <w:rPr>
                <w:lang w:eastAsia="ja-JP"/>
              </w:rPr>
            </w:pPr>
            <w:r w:rsidRPr="000E342B">
              <w:rPr>
                <w:lang w:eastAsia="ja-JP"/>
              </w:rPr>
              <w:t>-</w:t>
            </w:r>
          </w:p>
        </w:tc>
        <w:tc>
          <w:tcPr>
            <w:tcW w:w="491" w:type="pct"/>
          </w:tcPr>
          <w:p w14:paraId="5302F4F6" w14:textId="77777777" w:rsidR="00547B72" w:rsidRPr="000E342B" w:rsidRDefault="00547B72" w:rsidP="00630761">
            <w:pPr>
              <w:spacing w:before="0"/>
              <w:jc w:val="center"/>
              <w:rPr>
                <w:lang w:eastAsia="ja-JP"/>
              </w:rPr>
            </w:pPr>
            <w:r w:rsidRPr="000E342B">
              <w:rPr>
                <w:lang w:eastAsia="ja-JP"/>
              </w:rPr>
              <w:t>-</w:t>
            </w:r>
          </w:p>
        </w:tc>
      </w:tr>
      <w:tr w:rsidR="00547B72" w:rsidRPr="000E342B" w14:paraId="7745959A" w14:textId="77777777" w:rsidTr="00630761">
        <w:trPr>
          <w:cantSplit/>
          <w:trHeight w:val="56"/>
        </w:trPr>
        <w:tc>
          <w:tcPr>
            <w:tcW w:w="5000" w:type="pct"/>
            <w:gridSpan w:val="7"/>
            <w:shd w:val="clear" w:color="auto" w:fill="D9E2F3" w:themeFill="accent1" w:themeFillTint="33"/>
          </w:tcPr>
          <w:p w14:paraId="43CF7CEB" w14:textId="77777777" w:rsidR="00547B72" w:rsidRPr="000E342B" w:rsidRDefault="00547B72" w:rsidP="00630761">
            <w:pPr>
              <w:spacing w:before="0"/>
              <w:rPr>
                <w:rFonts w:cstheme="minorHAnsi"/>
                <w:b/>
                <w:bCs/>
                <w:lang w:eastAsia="ja-JP"/>
              </w:rPr>
            </w:pPr>
            <w:r w:rsidRPr="000E342B">
              <w:rPr>
                <w:rFonts w:cstheme="minorHAnsi"/>
                <w:b/>
                <w:bCs/>
                <w:lang w:eastAsia="ja-JP"/>
              </w:rPr>
              <w:t>Chapter 4 – Managing biosecurity risks: conveyances</w:t>
            </w:r>
          </w:p>
          <w:p w14:paraId="09F821C9" w14:textId="77777777" w:rsidR="00547B72" w:rsidRPr="000E342B" w:rsidRDefault="00547B72" w:rsidP="00630761">
            <w:pPr>
              <w:spacing w:before="0"/>
              <w:rPr>
                <w:rFonts w:cstheme="minorHAnsi"/>
                <w:b/>
                <w:bCs/>
                <w:lang w:eastAsia="ja-JP"/>
              </w:rPr>
            </w:pPr>
            <w:r w:rsidRPr="000E342B">
              <w:rPr>
                <w:rFonts w:cstheme="minorHAnsi"/>
                <w:b/>
                <w:bCs/>
                <w:lang w:eastAsia="ja-JP"/>
              </w:rPr>
              <w:t>Part 4—Entry points for incoming aircraft and vessels</w:t>
            </w:r>
          </w:p>
          <w:p w14:paraId="0F34CA67" w14:textId="77777777" w:rsidR="00547B72" w:rsidRPr="000E342B" w:rsidRDefault="00547B72" w:rsidP="00630761">
            <w:pPr>
              <w:spacing w:before="0"/>
              <w:rPr>
                <w:lang w:eastAsia="ja-JP"/>
              </w:rPr>
            </w:pPr>
            <w:r w:rsidRPr="000E342B">
              <w:rPr>
                <w:rFonts w:cstheme="minorHAnsi"/>
                <w:b/>
                <w:bCs/>
                <w:lang w:eastAsia="ja-JP"/>
              </w:rPr>
              <w:t>Division 4—Miscellaneous</w:t>
            </w:r>
          </w:p>
        </w:tc>
      </w:tr>
      <w:tr w:rsidR="00547B72" w:rsidRPr="000E342B" w14:paraId="3B2D19AD" w14:textId="77777777" w:rsidTr="00630761">
        <w:trPr>
          <w:cantSplit/>
          <w:trHeight w:val="56"/>
        </w:trPr>
        <w:tc>
          <w:tcPr>
            <w:tcW w:w="354" w:type="pct"/>
            <w:vMerge w:val="restart"/>
            <w:shd w:val="clear" w:color="auto" w:fill="D9E2F3" w:themeFill="accent1" w:themeFillTint="33"/>
          </w:tcPr>
          <w:p w14:paraId="43891A06" w14:textId="77777777" w:rsidR="00547B72" w:rsidRPr="000E342B" w:rsidRDefault="00547B72" w:rsidP="00630761">
            <w:pPr>
              <w:spacing w:before="0"/>
              <w:rPr>
                <w:lang w:eastAsia="ja-JP"/>
              </w:rPr>
            </w:pPr>
            <w:r w:rsidRPr="000E342B">
              <w:rPr>
                <w:lang w:eastAsia="ja-JP"/>
              </w:rPr>
              <w:t>252A</w:t>
            </w:r>
          </w:p>
        </w:tc>
        <w:tc>
          <w:tcPr>
            <w:tcW w:w="2444" w:type="pct"/>
            <w:vMerge w:val="restart"/>
          </w:tcPr>
          <w:p w14:paraId="7DB8335D" w14:textId="77777777" w:rsidR="00547B72" w:rsidRPr="000E342B" w:rsidRDefault="00547B72" w:rsidP="00630761">
            <w:pPr>
              <w:spacing w:before="0"/>
            </w:pPr>
            <w:r w:rsidRPr="000E342B">
              <w:t xml:space="preserve">Operator of </w:t>
            </w:r>
            <w:r>
              <w:t xml:space="preserve">a </w:t>
            </w:r>
            <w:r w:rsidRPr="000E342B">
              <w:t>first point of entry must comply with direction to carry out specified activities to control vectors if the Director of Human Biosecurity or a chief human biosecurity officer has reasonable grounds to believe that carrying out those activities in that area is necessary to ensure that the vector has not spread into, or is not likely to become established in, the area.</w:t>
            </w:r>
          </w:p>
          <w:p w14:paraId="1E97792A" w14:textId="77777777" w:rsidR="00547B72" w:rsidRPr="000E342B" w:rsidRDefault="00547B72" w:rsidP="00630761">
            <w:pPr>
              <w:spacing w:before="0"/>
            </w:pPr>
          </w:p>
        </w:tc>
        <w:tc>
          <w:tcPr>
            <w:tcW w:w="473" w:type="pct"/>
            <w:shd w:val="clear" w:color="auto" w:fill="D9E2F3" w:themeFill="accent1" w:themeFillTint="33"/>
          </w:tcPr>
          <w:p w14:paraId="340FF5D5" w14:textId="77777777" w:rsidR="00547B72" w:rsidRPr="000E342B" w:rsidRDefault="00547B72" w:rsidP="00630761">
            <w:pPr>
              <w:spacing w:before="0"/>
            </w:pPr>
            <w:r w:rsidRPr="000E342B">
              <w:t>252A(3)</w:t>
            </w:r>
          </w:p>
        </w:tc>
        <w:tc>
          <w:tcPr>
            <w:tcW w:w="384" w:type="pct"/>
            <w:shd w:val="clear" w:color="auto" w:fill="D9D9D9" w:themeFill="background1" w:themeFillShade="D9"/>
          </w:tcPr>
          <w:p w14:paraId="6356C159" w14:textId="77777777" w:rsidR="00547B72" w:rsidRPr="000E342B" w:rsidRDefault="00547B72" w:rsidP="00630761">
            <w:pPr>
              <w:spacing w:before="0"/>
              <w:jc w:val="center"/>
            </w:pPr>
            <w:r w:rsidRPr="000E342B">
              <w:t>-</w:t>
            </w:r>
          </w:p>
        </w:tc>
        <w:tc>
          <w:tcPr>
            <w:tcW w:w="424" w:type="pct"/>
          </w:tcPr>
          <w:p w14:paraId="12444C6D" w14:textId="77777777" w:rsidR="00547B72" w:rsidRPr="000E342B" w:rsidRDefault="00547B72" w:rsidP="00630761">
            <w:pPr>
              <w:spacing w:before="0"/>
              <w:jc w:val="center"/>
              <w:rPr>
                <w:lang w:eastAsia="ja-JP"/>
              </w:rPr>
            </w:pPr>
            <w:r w:rsidRPr="000E342B">
              <w:rPr>
                <w:lang w:eastAsia="ja-JP"/>
              </w:rPr>
              <w:t>-</w:t>
            </w:r>
          </w:p>
        </w:tc>
        <w:tc>
          <w:tcPr>
            <w:tcW w:w="429" w:type="pct"/>
            <w:shd w:val="clear" w:color="auto" w:fill="D9D9D9" w:themeFill="background1" w:themeFillShade="D9"/>
          </w:tcPr>
          <w:p w14:paraId="6134A3F3" w14:textId="77777777" w:rsidR="00547B72" w:rsidRPr="000E342B" w:rsidRDefault="00547B72" w:rsidP="00630761">
            <w:pPr>
              <w:spacing w:before="0"/>
              <w:jc w:val="center"/>
              <w:rPr>
                <w:lang w:eastAsia="ja-JP"/>
              </w:rPr>
            </w:pPr>
            <w:r w:rsidRPr="000E342B">
              <w:rPr>
                <w:lang w:eastAsia="ja-JP"/>
              </w:rPr>
              <w:t>300 pu</w:t>
            </w:r>
          </w:p>
          <w:p w14:paraId="3B827D84" w14:textId="77777777" w:rsidR="00547B72" w:rsidRPr="000E342B" w:rsidRDefault="00547B72" w:rsidP="00630761">
            <w:pPr>
              <w:spacing w:before="0"/>
              <w:jc w:val="center"/>
              <w:rPr>
                <w:lang w:eastAsia="ja-JP"/>
              </w:rPr>
            </w:pPr>
            <w:r w:rsidRPr="000E342B">
              <w:rPr>
                <w:lang w:eastAsia="ja-JP"/>
              </w:rPr>
              <w:t>$66,600</w:t>
            </w:r>
          </w:p>
        </w:tc>
        <w:tc>
          <w:tcPr>
            <w:tcW w:w="491" w:type="pct"/>
          </w:tcPr>
          <w:p w14:paraId="1815FB6F" w14:textId="77777777" w:rsidR="00547B72" w:rsidRPr="000E342B" w:rsidRDefault="00547B72" w:rsidP="00630761">
            <w:pPr>
              <w:spacing w:before="0"/>
              <w:jc w:val="center"/>
              <w:rPr>
                <w:lang w:eastAsia="ja-JP"/>
              </w:rPr>
            </w:pPr>
            <w:r w:rsidRPr="000E342B">
              <w:rPr>
                <w:lang w:eastAsia="ja-JP"/>
              </w:rPr>
              <w:t xml:space="preserve">1000 pu </w:t>
            </w:r>
            <w:r w:rsidRPr="000E342B">
              <w:rPr>
                <w:b/>
                <w:bCs/>
                <w:sz w:val="18"/>
                <w:szCs w:val="18"/>
                <w:vertAlign w:val="superscript"/>
                <w:lang w:eastAsia="ja-JP"/>
              </w:rPr>
              <w:t>2</w:t>
            </w:r>
          </w:p>
          <w:p w14:paraId="1E5B99EF" w14:textId="77777777" w:rsidR="00547B72" w:rsidRPr="000E342B" w:rsidRDefault="00547B72" w:rsidP="00630761">
            <w:pPr>
              <w:spacing w:before="0"/>
              <w:jc w:val="center"/>
              <w:rPr>
                <w:lang w:eastAsia="ja-JP"/>
              </w:rPr>
            </w:pPr>
            <w:r w:rsidRPr="000E342B">
              <w:rPr>
                <w:lang w:eastAsia="ja-JP"/>
              </w:rPr>
              <w:t>$222,000</w:t>
            </w:r>
          </w:p>
        </w:tc>
      </w:tr>
      <w:tr w:rsidR="00547B72" w:rsidRPr="000E342B" w14:paraId="4E9F4F13" w14:textId="77777777" w:rsidTr="00630761">
        <w:trPr>
          <w:cantSplit/>
          <w:trHeight w:val="56"/>
        </w:trPr>
        <w:tc>
          <w:tcPr>
            <w:tcW w:w="354" w:type="pct"/>
            <w:vMerge/>
            <w:shd w:val="clear" w:color="auto" w:fill="D9E2F3" w:themeFill="accent1" w:themeFillTint="33"/>
          </w:tcPr>
          <w:p w14:paraId="4C3ECFFF" w14:textId="77777777" w:rsidR="00547B72" w:rsidRPr="000E342B" w:rsidRDefault="00547B72" w:rsidP="00630761">
            <w:pPr>
              <w:spacing w:before="0"/>
              <w:rPr>
                <w:lang w:eastAsia="ja-JP"/>
              </w:rPr>
            </w:pPr>
          </w:p>
        </w:tc>
        <w:tc>
          <w:tcPr>
            <w:tcW w:w="2444" w:type="pct"/>
            <w:vMerge/>
          </w:tcPr>
          <w:p w14:paraId="20BE54C9" w14:textId="77777777" w:rsidR="00547B72" w:rsidRPr="000E342B" w:rsidRDefault="00547B72" w:rsidP="00630761">
            <w:pPr>
              <w:spacing w:before="0"/>
            </w:pPr>
          </w:p>
        </w:tc>
        <w:tc>
          <w:tcPr>
            <w:tcW w:w="473" w:type="pct"/>
            <w:shd w:val="clear" w:color="auto" w:fill="D9E2F3" w:themeFill="accent1" w:themeFillTint="33"/>
          </w:tcPr>
          <w:p w14:paraId="40C7731E" w14:textId="77777777" w:rsidR="00547B72" w:rsidRPr="000E342B" w:rsidRDefault="00547B72" w:rsidP="00630761">
            <w:pPr>
              <w:spacing w:before="0"/>
            </w:pPr>
            <w:r w:rsidRPr="000E342B">
              <w:t>252A(4)</w:t>
            </w:r>
          </w:p>
        </w:tc>
        <w:tc>
          <w:tcPr>
            <w:tcW w:w="384" w:type="pct"/>
            <w:shd w:val="clear" w:color="auto" w:fill="D9D9D9" w:themeFill="background1" w:themeFillShade="D9"/>
          </w:tcPr>
          <w:p w14:paraId="3E982668" w14:textId="77777777" w:rsidR="00547B72" w:rsidRPr="000E342B" w:rsidRDefault="00547B72" w:rsidP="00630761">
            <w:pPr>
              <w:spacing w:before="0"/>
              <w:jc w:val="center"/>
            </w:pPr>
            <w:r w:rsidRPr="000E342B">
              <w:t>120 pu</w:t>
            </w:r>
          </w:p>
          <w:p w14:paraId="6E063BD2" w14:textId="77777777" w:rsidR="00547B72" w:rsidRPr="000E342B" w:rsidRDefault="00547B72" w:rsidP="00630761">
            <w:pPr>
              <w:spacing w:before="0"/>
              <w:jc w:val="center"/>
            </w:pPr>
            <w:r w:rsidRPr="000E342B">
              <w:rPr>
                <w:lang w:eastAsia="ja-JP"/>
              </w:rPr>
              <w:t>$26,640</w:t>
            </w:r>
          </w:p>
        </w:tc>
        <w:tc>
          <w:tcPr>
            <w:tcW w:w="424" w:type="pct"/>
          </w:tcPr>
          <w:p w14:paraId="0031D18B" w14:textId="77777777" w:rsidR="00547B72" w:rsidRPr="000E342B" w:rsidRDefault="00547B72" w:rsidP="00630761">
            <w:pPr>
              <w:spacing w:before="0"/>
              <w:jc w:val="center"/>
              <w:rPr>
                <w:lang w:eastAsia="ja-JP"/>
              </w:rPr>
            </w:pPr>
            <w:r w:rsidRPr="000E342B">
              <w:rPr>
                <w:lang w:eastAsia="ja-JP"/>
              </w:rPr>
              <w:t>300 pu</w:t>
            </w:r>
          </w:p>
          <w:p w14:paraId="1240647E" w14:textId="77777777" w:rsidR="00547B72" w:rsidRPr="000E342B" w:rsidRDefault="00547B72" w:rsidP="00630761">
            <w:pPr>
              <w:spacing w:before="0"/>
              <w:jc w:val="center"/>
              <w:rPr>
                <w:lang w:eastAsia="ja-JP"/>
              </w:rPr>
            </w:pPr>
            <w:r w:rsidRPr="000E342B">
              <w:rPr>
                <w:lang w:eastAsia="ja-JP"/>
              </w:rPr>
              <w:t>$66,600</w:t>
            </w:r>
          </w:p>
        </w:tc>
        <w:tc>
          <w:tcPr>
            <w:tcW w:w="429" w:type="pct"/>
            <w:shd w:val="clear" w:color="auto" w:fill="D9D9D9" w:themeFill="background1" w:themeFillShade="D9"/>
          </w:tcPr>
          <w:p w14:paraId="4B5BE295" w14:textId="77777777" w:rsidR="00547B72" w:rsidRPr="000E342B" w:rsidRDefault="00547B72" w:rsidP="00630761">
            <w:pPr>
              <w:spacing w:before="0"/>
              <w:jc w:val="center"/>
              <w:rPr>
                <w:lang w:eastAsia="ja-JP"/>
              </w:rPr>
            </w:pPr>
            <w:r w:rsidRPr="000E342B">
              <w:rPr>
                <w:lang w:eastAsia="ja-JP"/>
              </w:rPr>
              <w:t>-</w:t>
            </w:r>
          </w:p>
        </w:tc>
        <w:tc>
          <w:tcPr>
            <w:tcW w:w="491" w:type="pct"/>
          </w:tcPr>
          <w:p w14:paraId="1F1047CD" w14:textId="77777777" w:rsidR="00547B72" w:rsidRPr="000E342B" w:rsidRDefault="00547B72" w:rsidP="00630761">
            <w:pPr>
              <w:spacing w:before="0"/>
              <w:jc w:val="center"/>
              <w:rPr>
                <w:lang w:eastAsia="ja-JP"/>
              </w:rPr>
            </w:pPr>
            <w:r w:rsidRPr="000E342B">
              <w:rPr>
                <w:lang w:eastAsia="ja-JP"/>
              </w:rPr>
              <w:t>-</w:t>
            </w:r>
          </w:p>
        </w:tc>
      </w:tr>
    </w:tbl>
    <w:p w14:paraId="50A9704E" w14:textId="77777777" w:rsidR="00547B72" w:rsidRDefault="00547B72" w:rsidP="00547B72">
      <w:pPr>
        <w:rPr>
          <w:lang w:eastAsia="ja-JP"/>
        </w:rPr>
      </w:pPr>
    </w:p>
    <w:p w14:paraId="293673BC" w14:textId="77777777" w:rsidR="00CB4587" w:rsidRPr="00BC27FA" w:rsidRDefault="00CB4587" w:rsidP="00CB4587">
      <w:pPr>
        <w:pStyle w:val="FootnoteText"/>
        <w:rPr>
          <w:sz w:val="18"/>
          <w:szCs w:val="18"/>
        </w:rPr>
      </w:pPr>
      <w:r w:rsidRPr="00BC27FA">
        <w:rPr>
          <w:rStyle w:val="FootnoteReference"/>
          <w:sz w:val="18"/>
          <w:szCs w:val="18"/>
        </w:rPr>
        <w:footnoteRef/>
      </w:r>
      <w:r w:rsidRPr="00BC27FA">
        <w:rPr>
          <w:sz w:val="18"/>
          <w:szCs w:val="18"/>
        </w:rPr>
        <w:t xml:space="preserve"> </w:t>
      </w:r>
      <w:r w:rsidRPr="00BC27FA">
        <w:rPr>
          <w:sz w:val="18"/>
          <w:szCs w:val="18"/>
          <w:lang w:eastAsia="ja-JP"/>
        </w:rPr>
        <w:t>does not include terms of imprisonment</w:t>
      </w:r>
    </w:p>
    <w:p w14:paraId="2902CB0A" w14:textId="31EFA1D3" w:rsidR="00CB4587" w:rsidRPr="00BC27FA" w:rsidRDefault="00CB4587" w:rsidP="00CB4587">
      <w:pPr>
        <w:pStyle w:val="Footeraddress"/>
        <w:spacing w:before="0" w:after="0"/>
        <w:jc w:val="left"/>
        <w:rPr>
          <w:sz w:val="18"/>
          <w:szCs w:val="18"/>
          <w:lang w:eastAsia="en-AU"/>
        </w:rPr>
      </w:pPr>
      <w:r w:rsidRPr="00BC27FA">
        <w:rPr>
          <w:b/>
          <w:bCs/>
          <w:sz w:val="18"/>
          <w:szCs w:val="18"/>
          <w:vertAlign w:val="superscript"/>
          <w:lang w:eastAsia="ja-JP"/>
        </w:rPr>
        <w:t xml:space="preserve">2 </w:t>
      </w:r>
      <w:r w:rsidR="0094789E">
        <w:rPr>
          <w:sz w:val="18"/>
          <w:szCs w:val="18"/>
          <w:lang w:eastAsia="en-AU"/>
        </w:rPr>
        <w:t>New</w:t>
      </w:r>
      <w:r w:rsidRPr="00BC27FA">
        <w:rPr>
          <w:sz w:val="18"/>
          <w:szCs w:val="18"/>
          <w:lang w:eastAsia="en-AU"/>
        </w:rPr>
        <w:t xml:space="preserve"> penalty departs from the Australian Government Guide to Framing Commonwealth Offences, Infringement Notices and Enforcement Powers</w:t>
      </w:r>
    </w:p>
    <w:p w14:paraId="584806F5" w14:textId="7A0E3DAA" w:rsidR="00547B72" w:rsidRDefault="00547B72"/>
    <w:p w14:paraId="0F60A36A" w14:textId="0969C857" w:rsidR="00D84CBA" w:rsidRDefault="00D84CBA"/>
    <w:p w14:paraId="3A37793D" w14:textId="7D32E582" w:rsidR="00D84CBA" w:rsidRDefault="00D84CBA"/>
    <w:p w14:paraId="249BAFF4" w14:textId="03B9E3B5" w:rsidR="00D84CBA" w:rsidRDefault="00D84CBA"/>
    <w:p w14:paraId="0D6155D9" w14:textId="6A27170F" w:rsidR="00D84CBA" w:rsidRDefault="00D84CBA"/>
    <w:p w14:paraId="78AC813F" w14:textId="0CE7562F" w:rsidR="00D84CBA" w:rsidRDefault="00D84CBA"/>
    <w:p w14:paraId="6CF4B41A" w14:textId="61C81ADB" w:rsidR="00D84CBA" w:rsidRDefault="00D84CBA" w:rsidP="00D84CBA">
      <w:r w:rsidRPr="00723B3B">
        <w:rPr>
          <w:b/>
          <w:bCs/>
        </w:rPr>
        <w:lastRenderedPageBreak/>
        <w:t xml:space="preserve">Schedule </w:t>
      </w:r>
      <w:r>
        <w:rPr>
          <w:b/>
          <w:bCs/>
        </w:rPr>
        <w:t>8</w:t>
      </w:r>
      <w:r w:rsidRPr="00723B3B">
        <w:rPr>
          <w:b/>
          <w:bCs/>
        </w:rPr>
        <w:t xml:space="preserve"> – </w:t>
      </w:r>
      <w:r>
        <w:rPr>
          <w:b/>
          <w:bCs/>
        </w:rPr>
        <w:t>Government Amendments</w:t>
      </w:r>
    </w:p>
    <w:p w14:paraId="7FE0C50E" w14:textId="77777777" w:rsidR="00D84CBA" w:rsidRDefault="00D84CBA"/>
    <w:tbl>
      <w:tblPr>
        <w:tblStyle w:val="TableGrid1"/>
        <w:tblW w:w="5080" w:type="pct"/>
        <w:shd w:val="clear" w:color="auto" w:fill="B4C6E7" w:themeFill="accent1" w:themeFillTint="66"/>
        <w:tblLook w:val="04A0" w:firstRow="1" w:lastRow="0" w:firstColumn="1" w:lastColumn="0" w:noHBand="0" w:noVBand="1"/>
      </w:tblPr>
      <w:tblGrid>
        <w:gridCol w:w="1380"/>
        <w:gridCol w:w="6009"/>
        <w:gridCol w:w="1332"/>
        <w:gridCol w:w="1094"/>
        <w:gridCol w:w="1196"/>
        <w:gridCol w:w="1457"/>
        <w:gridCol w:w="1703"/>
      </w:tblGrid>
      <w:tr w:rsidR="00D84CBA" w:rsidRPr="00350CE3" w14:paraId="36698564" w14:textId="77777777" w:rsidTr="00BE58BC">
        <w:trPr>
          <w:cantSplit/>
          <w:tblHeader/>
        </w:trPr>
        <w:tc>
          <w:tcPr>
            <w:tcW w:w="487" w:type="pct"/>
            <w:shd w:val="clear" w:color="auto" w:fill="B4C6E7" w:themeFill="accent1" w:themeFillTint="66"/>
          </w:tcPr>
          <w:p w14:paraId="5B536631" w14:textId="77777777" w:rsidR="00D84CBA" w:rsidRPr="00350CE3" w:rsidRDefault="00D84CBA" w:rsidP="00BE58BC">
            <w:pPr>
              <w:spacing w:before="0"/>
              <w:jc w:val="center"/>
              <w:rPr>
                <w:b/>
                <w:bCs/>
                <w:sz w:val="22"/>
                <w:szCs w:val="22"/>
                <w:lang w:eastAsia="ja-JP"/>
              </w:rPr>
            </w:pPr>
            <w:r w:rsidRPr="00350CE3">
              <w:rPr>
                <w:b/>
                <w:bCs/>
                <w:sz w:val="22"/>
                <w:szCs w:val="22"/>
                <w:lang w:eastAsia="ja-JP"/>
              </w:rPr>
              <w:t>Provision</w:t>
            </w:r>
          </w:p>
        </w:tc>
        <w:tc>
          <w:tcPr>
            <w:tcW w:w="2120" w:type="pct"/>
            <w:shd w:val="clear" w:color="auto" w:fill="B4C6E7" w:themeFill="accent1" w:themeFillTint="66"/>
          </w:tcPr>
          <w:p w14:paraId="298457C5" w14:textId="77777777" w:rsidR="00D84CBA" w:rsidRPr="00350CE3" w:rsidRDefault="00D84CBA" w:rsidP="00BE58BC">
            <w:pPr>
              <w:spacing w:before="0"/>
              <w:jc w:val="center"/>
              <w:rPr>
                <w:b/>
                <w:bCs/>
                <w:sz w:val="22"/>
                <w:szCs w:val="22"/>
                <w:lang w:eastAsia="ja-JP"/>
              </w:rPr>
            </w:pPr>
            <w:r w:rsidRPr="00350CE3">
              <w:rPr>
                <w:b/>
                <w:bCs/>
                <w:sz w:val="22"/>
                <w:szCs w:val="22"/>
                <w:lang w:eastAsia="ja-JP"/>
              </w:rPr>
              <w:t>Summary</w:t>
            </w:r>
          </w:p>
        </w:tc>
        <w:tc>
          <w:tcPr>
            <w:tcW w:w="470" w:type="pct"/>
            <w:shd w:val="clear" w:color="auto" w:fill="B4C6E7" w:themeFill="accent1" w:themeFillTint="66"/>
          </w:tcPr>
          <w:p w14:paraId="5527DE9B" w14:textId="77777777" w:rsidR="00D84CBA" w:rsidRPr="00350CE3" w:rsidRDefault="00D84CBA" w:rsidP="00BE58BC">
            <w:pPr>
              <w:spacing w:before="0"/>
              <w:jc w:val="center"/>
              <w:rPr>
                <w:b/>
                <w:bCs/>
                <w:sz w:val="22"/>
                <w:szCs w:val="22"/>
                <w:lang w:eastAsia="ja-JP"/>
              </w:rPr>
            </w:pPr>
            <w:r w:rsidRPr="00350CE3">
              <w:rPr>
                <w:b/>
                <w:bCs/>
                <w:sz w:val="22"/>
                <w:szCs w:val="22"/>
                <w:lang w:eastAsia="ja-JP"/>
              </w:rPr>
              <w:t>Subsection</w:t>
            </w:r>
          </w:p>
        </w:tc>
        <w:tc>
          <w:tcPr>
            <w:tcW w:w="386" w:type="pct"/>
            <w:shd w:val="clear" w:color="auto" w:fill="B4C6E7" w:themeFill="accent1" w:themeFillTint="66"/>
          </w:tcPr>
          <w:p w14:paraId="7593C96E" w14:textId="77777777" w:rsidR="00D84CBA" w:rsidRPr="00350CE3" w:rsidRDefault="00D84CBA" w:rsidP="00BE58BC">
            <w:pPr>
              <w:spacing w:before="0"/>
              <w:jc w:val="center"/>
              <w:rPr>
                <w:b/>
                <w:bCs/>
                <w:sz w:val="22"/>
                <w:szCs w:val="22"/>
                <w:lang w:eastAsia="ja-JP"/>
              </w:rPr>
            </w:pPr>
            <w:r w:rsidRPr="00350CE3">
              <w:rPr>
                <w:b/>
                <w:bCs/>
                <w:sz w:val="22"/>
                <w:szCs w:val="22"/>
                <w:lang w:eastAsia="ja-JP"/>
              </w:rPr>
              <w:t xml:space="preserve">Current civil penalty </w:t>
            </w:r>
          </w:p>
          <w:p w14:paraId="41A37B18" w14:textId="77777777" w:rsidR="00D84CBA" w:rsidRPr="00350CE3" w:rsidRDefault="00D84CBA" w:rsidP="00BE58BC">
            <w:pPr>
              <w:spacing w:before="0"/>
              <w:jc w:val="center"/>
              <w:rPr>
                <w:b/>
                <w:bCs/>
                <w:sz w:val="22"/>
                <w:szCs w:val="22"/>
                <w:lang w:eastAsia="ja-JP"/>
              </w:rPr>
            </w:pPr>
            <w:r w:rsidRPr="00350CE3">
              <w:rPr>
                <w:b/>
                <w:bCs/>
                <w:sz w:val="22"/>
                <w:szCs w:val="22"/>
                <w:lang w:eastAsia="ja-JP"/>
              </w:rPr>
              <w:t>(penalty units / $)</w:t>
            </w:r>
          </w:p>
        </w:tc>
        <w:tc>
          <w:tcPr>
            <w:tcW w:w="422" w:type="pct"/>
            <w:shd w:val="clear" w:color="auto" w:fill="B4C6E7" w:themeFill="accent1" w:themeFillTint="66"/>
          </w:tcPr>
          <w:p w14:paraId="37B6248E" w14:textId="4FC98F16" w:rsidR="00D84CBA" w:rsidRPr="00350CE3" w:rsidRDefault="0094789E" w:rsidP="00BE58BC">
            <w:pPr>
              <w:spacing w:before="0"/>
              <w:jc w:val="center"/>
              <w:rPr>
                <w:b/>
                <w:bCs/>
                <w:sz w:val="22"/>
                <w:szCs w:val="22"/>
                <w:lang w:eastAsia="ja-JP"/>
              </w:rPr>
            </w:pPr>
            <w:r>
              <w:rPr>
                <w:b/>
                <w:bCs/>
                <w:sz w:val="22"/>
                <w:szCs w:val="22"/>
                <w:lang w:eastAsia="ja-JP"/>
              </w:rPr>
              <w:t>New</w:t>
            </w:r>
            <w:r w:rsidR="00D84CBA" w:rsidRPr="00350CE3">
              <w:rPr>
                <w:b/>
                <w:bCs/>
                <w:sz w:val="22"/>
                <w:szCs w:val="22"/>
                <w:lang w:eastAsia="ja-JP"/>
              </w:rPr>
              <w:t xml:space="preserve"> civil penalty</w:t>
            </w:r>
          </w:p>
          <w:p w14:paraId="61A53772" w14:textId="77777777" w:rsidR="00D84CBA" w:rsidRPr="00350CE3" w:rsidRDefault="00D84CBA" w:rsidP="00BE58BC">
            <w:pPr>
              <w:spacing w:before="0"/>
              <w:jc w:val="center"/>
              <w:rPr>
                <w:b/>
                <w:bCs/>
                <w:sz w:val="22"/>
                <w:szCs w:val="22"/>
                <w:lang w:eastAsia="ja-JP"/>
              </w:rPr>
            </w:pPr>
            <w:r w:rsidRPr="00350CE3">
              <w:rPr>
                <w:b/>
                <w:bCs/>
                <w:sz w:val="22"/>
                <w:szCs w:val="22"/>
                <w:lang w:eastAsia="ja-JP"/>
              </w:rPr>
              <w:t>(penalty units / $)</w:t>
            </w:r>
          </w:p>
        </w:tc>
        <w:tc>
          <w:tcPr>
            <w:tcW w:w="514" w:type="pct"/>
            <w:shd w:val="clear" w:color="auto" w:fill="B4C6E7" w:themeFill="accent1" w:themeFillTint="66"/>
          </w:tcPr>
          <w:p w14:paraId="1A4D04C8" w14:textId="3031F085" w:rsidR="00D84CBA" w:rsidRPr="00350CE3" w:rsidRDefault="00AB6010" w:rsidP="00BE58BC">
            <w:pPr>
              <w:spacing w:before="0"/>
              <w:jc w:val="center"/>
              <w:rPr>
                <w:b/>
                <w:bCs/>
                <w:sz w:val="22"/>
                <w:szCs w:val="22"/>
                <w:lang w:eastAsia="ja-JP"/>
              </w:rPr>
            </w:pPr>
            <w:r>
              <w:rPr>
                <w:b/>
                <w:bCs/>
                <w:sz w:val="22"/>
                <w:szCs w:val="22"/>
                <w:lang w:eastAsia="ja-JP"/>
              </w:rPr>
              <w:t>Current</w:t>
            </w:r>
            <w:r w:rsidR="00D84CBA" w:rsidRPr="00350CE3">
              <w:rPr>
                <w:b/>
                <w:bCs/>
                <w:sz w:val="22"/>
                <w:szCs w:val="22"/>
                <w:lang w:eastAsia="ja-JP"/>
              </w:rPr>
              <w:t xml:space="preserve"> criminal penalty</w:t>
            </w:r>
          </w:p>
          <w:p w14:paraId="17BD2382" w14:textId="77777777" w:rsidR="00D84CBA" w:rsidRPr="00350CE3" w:rsidRDefault="00D84CBA" w:rsidP="00BE58BC">
            <w:pPr>
              <w:spacing w:before="0"/>
              <w:jc w:val="center"/>
              <w:rPr>
                <w:b/>
                <w:bCs/>
                <w:sz w:val="22"/>
                <w:szCs w:val="22"/>
                <w:lang w:eastAsia="ja-JP"/>
              </w:rPr>
            </w:pPr>
            <w:r w:rsidRPr="00350CE3">
              <w:rPr>
                <w:b/>
                <w:bCs/>
                <w:sz w:val="22"/>
                <w:szCs w:val="22"/>
                <w:lang w:eastAsia="ja-JP"/>
              </w:rPr>
              <w:t>(penalty units / $)</w:t>
            </w:r>
          </w:p>
        </w:tc>
        <w:tc>
          <w:tcPr>
            <w:tcW w:w="601" w:type="pct"/>
            <w:shd w:val="clear" w:color="auto" w:fill="B4C6E7" w:themeFill="accent1" w:themeFillTint="66"/>
          </w:tcPr>
          <w:p w14:paraId="4E07E434" w14:textId="079502EF" w:rsidR="00D84CBA" w:rsidRPr="00350CE3" w:rsidRDefault="0094789E" w:rsidP="00BE58BC">
            <w:pPr>
              <w:spacing w:before="0"/>
              <w:jc w:val="center"/>
              <w:rPr>
                <w:b/>
                <w:bCs/>
                <w:sz w:val="22"/>
                <w:szCs w:val="22"/>
                <w:lang w:eastAsia="ja-JP"/>
              </w:rPr>
            </w:pPr>
            <w:r>
              <w:rPr>
                <w:b/>
                <w:bCs/>
                <w:sz w:val="22"/>
                <w:szCs w:val="22"/>
                <w:lang w:eastAsia="ja-JP"/>
              </w:rPr>
              <w:t>New</w:t>
            </w:r>
            <w:r w:rsidR="00D84CBA" w:rsidRPr="00350CE3">
              <w:rPr>
                <w:b/>
                <w:bCs/>
                <w:sz w:val="22"/>
                <w:szCs w:val="22"/>
                <w:lang w:eastAsia="ja-JP"/>
              </w:rPr>
              <w:t xml:space="preserve"> criminal penalty </w:t>
            </w:r>
          </w:p>
          <w:p w14:paraId="1FCA7EA7" w14:textId="77777777" w:rsidR="00D84CBA" w:rsidRPr="00350CE3" w:rsidRDefault="00D84CBA" w:rsidP="00BE58BC">
            <w:pPr>
              <w:spacing w:before="0"/>
              <w:jc w:val="center"/>
              <w:rPr>
                <w:b/>
                <w:bCs/>
                <w:sz w:val="22"/>
                <w:szCs w:val="22"/>
                <w:lang w:eastAsia="ja-JP"/>
              </w:rPr>
            </w:pPr>
            <w:r w:rsidRPr="00350CE3">
              <w:rPr>
                <w:b/>
                <w:bCs/>
                <w:sz w:val="22"/>
                <w:szCs w:val="22"/>
                <w:lang w:eastAsia="ja-JP"/>
              </w:rPr>
              <w:t>(penalty units / $)</w:t>
            </w:r>
          </w:p>
        </w:tc>
      </w:tr>
    </w:tbl>
    <w:tbl>
      <w:tblPr>
        <w:tblStyle w:val="TableGrid3"/>
        <w:tblW w:w="14170" w:type="dxa"/>
        <w:tblLook w:val="04A0" w:firstRow="1" w:lastRow="0" w:firstColumn="1" w:lastColumn="0" w:noHBand="0" w:noVBand="1"/>
      </w:tblPr>
      <w:tblGrid>
        <w:gridCol w:w="1363"/>
        <w:gridCol w:w="6003"/>
        <w:gridCol w:w="1418"/>
        <w:gridCol w:w="992"/>
        <w:gridCol w:w="1134"/>
        <w:gridCol w:w="1559"/>
        <w:gridCol w:w="1701"/>
      </w:tblGrid>
      <w:tr w:rsidR="00D84CBA" w:rsidRPr="003421C6" w14:paraId="5E1FB3E2" w14:textId="77777777" w:rsidTr="00BE58BC">
        <w:trPr>
          <w:cantSplit/>
          <w:trHeight w:val="803"/>
        </w:trPr>
        <w:tc>
          <w:tcPr>
            <w:tcW w:w="14170" w:type="dxa"/>
            <w:gridSpan w:val="7"/>
            <w:shd w:val="clear" w:color="auto" w:fill="D9E2F3" w:themeFill="accent1" w:themeFillTint="33"/>
          </w:tcPr>
          <w:p w14:paraId="092F1410" w14:textId="77777777" w:rsidR="00D84CBA" w:rsidRPr="003421C6" w:rsidRDefault="00D84CBA" w:rsidP="00BE58BC">
            <w:pPr>
              <w:spacing w:before="0"/>
              <w:rPr>
                <w:rFonts w:cstheme="minorHAnsi"/>
                <w:b/>
                <w:bCs/>
                <w:sz w:val="22"/>
                <w:szCs w:val="22"/>
                <w:lang w:eastAsia="ja-JP"/>
              </w:rPr>
            </w:pPr>
            <w:r w:rsidRPr="003421C6">
              <w:rPr>
                <w:rFonts w:cstheme="minorHAnsi"/>
                <w:b/>
                <w:bCs/>
                <w:sz w:val="22"/>
                <w:szCs w:val="22"/>
                <w:lang w:eastAsia="ja-JP"/>
              </w:rPr>
              <w:t xml:space="preserve">Chapter </w:t>
            </w:r>
            <w:r>
              <w:rPr>
                <w:rFonts w:cstheme="minorHAnsi"/>
                <w:b/>
                <w:bCs/>
                <w:sz w:val="22"/>
                <w:szCs w:val="22"/>
                <w:lang w:eastAsia="ja-JP"/>
              </w:rPr>
              <w:t>3</w:t>
            </w:r>
            <w:r w:rsidRPr="003421C6">
              <w:rPr>
                <w:rFonts w:cstheme="minorHAnsi"/>
                <w:b/>
                <w:bCs/>
                <w:sz w:val="22"/>
                <w:szCs w:val="22"/>
                <w:lang w:eastAsia="ja-JP"/>
              </w:rPr>
              <w:t xml:space="preserve"> – M</w:t>
            </w:r>
            <w:r>
              <w:rPr>
                <w:rFonts w:cstheme="minorHAnsi"/>
                <w:b/>
                <w:bCs/>
                <w:sz w:val="22"/>
                <w:szCs w:val="22"/>
                <w:lang w:eastAsia="ja-JP"/>
              </w:rPr>
              <w:t>anaging biosecurity risks: goods</w:t>
            </w:r>
          </w:p>
          <w:p w14:paraId="6E216F45" w14:textId="77777777" w:rsidR="00D84CBA" w:rsidRPr="003421C6" w:rsidRDefault="00D84CBA" w:rsidP="00BE58BC">
            <w:pPr>
              <w:spacing w:before="0"/>
              <w:rPr>
                <w:rFonts w:cstheme="minorHAnsi"/>
                <w:b/>
                <w:bCs/>
                <w:sz w:val="22"/>
                <w:szCs w:val="22"/>
                <w:lang w:eastAsia="ja-JP"/>
              </w:rPr>
            </w:pPr>
            <w:r w:rsidRPr="003421C6">
              <w:rPr>
                <w:rFonts w:cstheme="minorHAnsi"/>
                <w:b/>
                <w:bCs/>
                <w:sz w:val="22"/>
                <w:szCs w:val="22"/>
                <w:lang w:eastAsia="ja-JP"/>
              </w:rPr>
              <w:t xml:space="preserve">Part </w:t>
            </w:r>
            <w:r>
              <w:rPr>
                <w:rFonts w:cstheme="minorHAnsi"/>
                <w:b/>
                <w:bCs/>
                <w:sz w:val="22"/>
                <w:szCs w:val="22"/>
                <w:lang w:eastAsia="ja-JP"/>
              </w:rPr>
              <w:t>3</w:t>
            </w:r>
            <w:r w:rsidRPr="003421C6">
              <w:rPr>
                <w:rFonts w:cstheme="minorHAnsi"/>
                <w:b/>
                <w:bCs/>
                <w:sz w:val="22"/>
                <w:szCs w:val="22"/>
                <w:lang w:eastAsia="ja-JP"/>
              </w:rPr>
              <w:t xml:space="preserve"> – </w:t>
            </w:r>
            <w:r>
              <w:rPr>
                <w:rFonts w:cstheme="minorHAnsi"/>
                <w:b/>
                <w:bCs/>
                <w:sz w:val="22"/>
                <w:szCs w:val="22"/>
                <w:lang w:eastAsia="ja-JP"/>
              </w:rPr>
              <w:t>Prohibited goods etc.</w:t>
            </w:r>
          </w:p>
          <w:p w14:paraId="13B69285" w14:textId="77777777" w:rsidR="00D84CBA" w:rsidRPr="003421C6" w:rsidRDefault="00D84CBA" w:rsidP="00BE58BC">
            <w:pPr>
              <w:spacing w:before="0"/>
              <w:rPr>
                <w:sz w:val="22"/>
                <w:szCs w:val="22"/>
                <w:lang w:eastAsia="ja-JP"/>
              </w:rPr>
            </w:pPr>
            <w:r w:rsidRPr="003421C6">
              <w:rPr>
                <w:rFonts w:cstheme="minorHAnsi"/>
                <w:b/>
                <w:bCs/>
                <w:sz w:val="22"/>
                <w:szCs w:val="22"/>
                <w:lang w:eastAsia="ja-JP"/>
              </w:rPr>
              <w:t xml:space="preserve">Division </w:t>
            </w:r>
            <w:r>
              <w:rPr>
                <w:rFonts w:cstheme="minorHAnsi"/>
                <w:b/>
                <w:bCs/>
                <w:sz w:val="22"/>
                <w:szCs w:val="22"/>
                <w:lang w:eastAsia="ja-JP"/>
              </w:rPr>
              <w:t>5</w:t>
            </w:r>
            <w:r w:rsidRPr="003421C6">
              <w:rPr>
                <w:rFonts w:cstheme="minorHAnsi"/>
                <w:b/>
                <w:bCs/>
                <w:sz w:val="22"/>
                <w:szCs w:val="22"/>
                <w:lang w:eastAsia="ja-JP"/>
              </w:rPr>
              <w:t xml:space="preserve"> – </w:t>
            </w:r>
            <w:r>
              <w:rPr>
                <w:rFonts w:cstheme="minorHAnsi"/>
                <w:b/>
                <w:bCs/>
                <w:sz w:val="22"/>
                <w:szCs w:val="22"/>
                <w:lang w:eastAsia="ja-JP"/>
              </w:rPr>
              <w:t>Offences and civil penalty provisions</w:t>
            </w:r>
          </w:p>
        </w:tc>
      </w:tr>
      <w:tr w:rsidR="00D84CBA" w:rsidRPr="003421C6" w14:paraId="4469DEB3" w14:textId="77777777" w:rsidTr="00BE58BC">
        <w:trPr>
          <w:cantSplit/>
          <w:trHeight w:val="576"/>
        </w:trPr>
        <w:tc>
          <w:tcPr>
            <w:tcW w:w="1363" w:type="dxa"/>
            <w:shd w:val="clear" w:color="auto" w:fill="D9E2F3" w:themeFill="accent1" w:themeFillTint="33"/>
          </w:tcPr>
          <w:p w14:paraId="0144CE74" w14:textId="1774003F" w:rsidR="00D84CBA" w:rsidRPr="003421C6" w:rsidRDefault="00D84CBA" w:rsidP="00BE58BC">
            <w:pPr>
              <w:spacing w:before="0"/>
              <w:rPr>
                <w:sz w:val="22"/>
                <w:szCs w:val="22"/>
                <w:lang w:eastAsia="ja-JP"/>
              </w:rPr>
            </w:pPr>
            <w:r>
              <w:rPr>
                <w:sz w:val="22"/>
                <w:szCs w:val="22"/>
                <w:lang w:eastAsia="ja-JP"/>
              </w:rPr>
              <w:t>186A</w:t>
            </w:r>
          </w:p>
        </w:tc>
        <w:tc>
          <w:tcPr>
            <w:tcW w:w="6003" w:type="dxa"/>
          </w:tcPr>
          <w:p w14:paraId="47B0FA74" w14:textId="7930890C" w:rsidR="00D84CBA" w:rsidRPr="00F8733D" w:rsidRDefault="00D84CBA" w:rsidP="00BE58BC">
            <w:pPr>
              <w:spacing w:before="0"/>
              <w:rPr>
                <w:rFonts w:cs="Arial"/>
                <w:sz w:val="22"/>
                <w:szCs w:val="22"/>
              </w:rPr>
            </w:pPr>
            <w:r w:rsidRPr="005A664A">
              <w:t>Person is liable to a civil penalty if the person brings or imports into Australian territory conditionally non-prohibited goods and a condition specified under subsection 174(1) has not been complied with and the goods are concealed for the purpose of preventing the goods from being found, or preventing the true nature of the goods from being determined, by a biosecurity official.</w:t>
            </w:r>
          </w:p>
        </w:tc>
        <w:tc>
          <w:tcPr>
            <w:tcW w:w="1418" w:type="dxa"/>
          </w:tcPr>
          <w:p w14:paraId="6B850476" w14:textId="43A60D4F" w:rsidR="00D84CBA" w:rsidRPr="003421C6" w:rsidRDefault="00D84CBA" w:rsidP="00BE58BC">
            <w:pPr>
              <w:spacing w:before="0" w:line="276" w:lineRule="auto"/>
              <w:jc w:val="center"/>
              <w:rPr>
                <w:sz w:val="22"/>
                <w:szCs w:val="22"/>
              </w:rPr>
            </w:pPr>
            <w:r>
              <w:rPr>
                <w:sz w:val="22"/>
                <w:szCs w:val="22"/>
              </w:rPr>
              <w:t>186A(1)</w:t>
            </w:r>
          </w:p>
        </w:tc>
        <w:tc>
          <w:tcPr>
            <w:tcW w:w="992" w:type="dxa"/>
            <w:shd w:val="clear" w:color="auto" w:fill="D9D9D9" w:themeFill="background1" w:themeFillShade="D9"/>
          </w:tcPr>
          <w:p w14:paraId="690923BE" w14:textId="77777777" w:rsidR="00D84CBA" w:rsidRPr="003421C6" w:rsidRDefault="00D84CBA" w:rsidP="00BE58BC">
            <w:pPr>
              <w:spacing w:before="0" w:line="276" w:lineRule="auto"/>
              <w:rPr>
                <w:sz w:val="22"/>
                <w:szCs w:val="22"/>
              </w:rPr>
            </w:pPr>
            <w:r w:rsidRPr="003421C6">
              <w:rPr>
                <w:sz w:val="22"/>
                <w:szCs w:val="22"/>
              </w:rPr>
              <w:t>-</w:t>
            </w:r>
          </w:p>
        </w:tc>
        <w:tc>
          <w:tcPr>
            <w:tcW w:w="1134" w:type="dxa"/>
          </w:tcPr>
          <w:p w14:paraId="1EAD1A0D" w14:textId="77777777" w:rsidR="00D84CBA" w:rsidRDefault="00D84CBA" w:rsidP="00BE58BC">
            <w:pPr>
              <w:spacing w:before="0" w:line="276" w:lineRule="auto"/>
              <w:jc w:val="center"/>
              <w:rPr>
                <w:sz w:val="22"/>
                <w:szCs w:val="22"/>
              </w:rPr>
            </w:pPr>
            <w:r>
              <w:rPr>
                <w:sz w:val="22"/>
                <w:szCs w:val="22"/>
              </w:rPr>
              <w:t>1,200 pu</w:t>
            </w:r>
          </w:p>
          <w:p w14:paraId="71CD1905" w14:textId="77777777" w:rsidR="00D84CBA" w:rsidRPr="003421C6" w:rsidRDefault="00D84CBA" w:rsidP="00BE58BC">
            <w:pPr>
              <w:spacing w:before="0" w:line="276" w:lineRule="auto"/>
              <w:jc w:val="center"/>
              <w:rPr>
                <w:sz w:val="22"/>
                <w:szCs w:val="22"/>
              </w:rPr>
            </w:pPr>
            <w:r>
              <w:rPr>
                <w:sz w:val="22"/>
                <w:szCs w:val="22"/>
              </w:rPr>
              <w:t>$266,400</w:t>
            </w:r>
          </w:p>
        </w:tc>
        <w:tc>
          <w:tcPr>
            <w:tcW w:w="1559" w:type="dxa"/>
            <w:shd w:val="clear" w:color="auto" w:fill="D9D9D9" w:themeFill="background1" w:themeFillShade="D9"/>
          </w:tcPr>
          <w:p w14:paraId="6445CCC6" w14:textId="77777777" w:rsidR="00D84CBA" w:rsidRPr="003421C6" w:rsidRDefault="00D84CBA" w:rsidP="00BE58BC">
            <w:pPr>
              <w:spacing w:before="0"/>
              <w:jc w:val="center"/>
              <w:rPr>
                <w:sz w:val="22"/>
                <w:szCs w:val="22"/>
                <w:lang w:eastAsia="ja-JP"/>
              </w:rPr>
            </w:pPr>
            <w:r w:rsidRPr="003421C6">
              <w:rPr>
                <w:sz w:val="22"/>
                <w:szCs w:val="22"/>
                <w:lang w:eastAsia="ja-JP"/>
              </w:rPr>
              <w:t>-</w:t>
            </w:r>
          </w:p>
        </w:tc>
        <w:tc>
          <w:tcPr>
            <w:tcW w:w="1701" w:type="dxa"/>
          </w:tcPr>
          <w:p w14:paraId="64CDC0C9" w14:textId="77777777" w:rsidR="00D84CBA" w:rsidRPr="003421C6" w:rsidRDefault="00D84CBA" w:rsidP="00BE58BC">
            <w:pPr>
              <w:spacing w:before="0"/>
              <w:jc w:val="center"/>
              <w:rPr>
                <w:sz w:val="22"/>
                <w:szCs w:val="22"/>
                <w:lang w:eastAsia="ja-JP"/>
              </w:rPr>
            </w:pPr>
            <w:r>
              <w:rPr>
                <w:sz w:val="22"/>
                <w:szCs w:val="22"/>
                <w:lang w:eastAsia="ja-JP"/>
              </w:rPr>
              <w:t>-</w:t>
            </w:r>
          </w:p>
        </w:tc>
      </w:tr>
    </w:tbl>
    <w:p w14:paraId="5E2789F4" w14:textId="77777777" w:rsidR="00D84CBA" w:rsidRDefault="00D84CBA"/>
    <w:sectPr w:rsidR="00D84CBA" w:rsidSect="00547B72">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4895" w14:textId="77777777" w:rsidR="00547B72" w:rsidRDefault="00547B72" w:rsidP="00547B72">
      <w:pPr>
        <w:spacing w:before="0"/>
      </w:pPr>
      <w:r>
        <w:separator/>
      </w:r>
    </w:p>
  </w:endnote>
  <w:endnote w:type="continuationSeparator" w:id="0">
    <w:p w14:paraId="551CA49D" w14:textId="77777777" w:rsidR="00547B72" w:rsidRDefault="00547B72" w:rsidP="00547B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6896" w14:textId="77777777" w:rsidR="00547B72" w:rsidRDefault="00547B72" w:rsidP="00547B72">
      <w:pPr>
        <w:spacing w:before="0"/>
      </w:pPr>
      <w:r>
        <w:separator/>
      </w:r>
    </w:p>
  </w:footnote>
  <w:footnote w:type="continuationSeparator" w:id="0">
    <w:p w14:paraId="4CEBE758" w14:textId="77777777" w:rsidR="00547B72" w:rsidRDefault="00547B72" w:rsidP="00547B72">
      <w:pPr>
        <w:spacing w:before="0"/>
      </w:pPr>
      <w:r>
        <w:continuationSeparator/>
      </w:r>
    </w:p>
  </w:footnote>
  <w:footnote w:id="1">
    <w:p w14:paraId="4F17C210" w14:textId="54D04E9C" w:rsidR="00547B72" w:rsidRPr="00BC27FA" w:rsidRDefault="00CB4587" w:rsidP="00547B72">
      <w:pPr>
        <w:pStyle w:val="FootnoteText"/>
        <w:rPr>
          <w:sz w:val="18"/>
          <w:szCs w:val="18"/>
        </w:rPr>
      </w:pPr>
      <w:r w:rsidRPr="00BC27FA">
        <w:rPr>
          <w:rStyle w:val="FootnoteReference"/>
          <w:sz w:val="18"/>
          <w:szCs w:val="18"/>
        </w:rPr>
        <w:footnoteRef/>
      </w:r>
      <w:r w:rsidRPr="00BC27FA">
        <w:rPr>
          <w:sz w:val="18"/>
          <w:szCs w:val="18"/>
        </w:rPr>
        <w:t xml:space="preserve"> </w:t>
      </w:r>
      <w:r w:rsidRPr="00BC27FA">
        <w:rPr>
          <w:sz w:val="18"/>
          <w:szCs w:val="18"/>
          <w:lang w:eastAsia="ja-JP"/>
        </w:rPr>
        <w:t>does not include terms of imprisonment</w:t>
      </w:r>
    </w:p>
  </w:footnote>
  <w:footnote w:id="2">
    <w:p w14:paraId="4DE92863" w14:textId="23250905" w:rsidR="00CB4587" w:rsidRPr="00BC27FA" w:rsidRDefault="00CB4587" w:rsidP="00CB4587">
      <w:pPr>
        <w:pStyle w:val="Footeraddress"/>
        <w:spacing w:before="0" w:after="0"/>
        <w:jc w:val="left"/>
        <w:rPr>
          <w:sz w:val="18"/>
          <w:szCs w:val="18"/>
          <w:lang w:eastAsia="en-AU"/>
        </w:rPr>
      </w:pPr>
      <w:r w:rsidRPr="00BC27FA">
        <w:rPr>
          <w:b/>
          <w:bCs/>
          <w:sz w:val="18"/>
          <w:szCs w:val="18"/>
          <w:vertAlign w:val="superscript"/>
          <w:lang w:eastAsia="ja-JP"/>
        </w:rPr>
        <w:t xml:space="preserve">2 </w:t>
      </w:r>
      <w:r w:rsidR="0094789E">
        <w:rPr>
          <w:sz w:val="18"/>
          <w:szCs w:val="18"/>
          <w:lang w:eastAsia="en-AU"/>
        </w:rPr>
        <w:t>New</w:t>
      </w:r>
      <w:r w:rsidRPr="00BC27FA">
        <w:rPr>
          <w:sz w:val="18"/>
          <w:szCs w:val="18"/>
          <w:lang w:eastAsia="en-AU"/>
        </w:rPr>
        <w:t xml:space="preserve"> penalty departs from the Australian Government Guide to Framing Commonwealth Offences, Infringement Notices and Enforcement Powers</w:t>
      </w:r>
    </w:p>
    <w:p w14:paraId="1746B22F" w14:textId="1FCF7934" w:rsidR="00547B72" w:rsidRPr="00C22433" w:rsidRDefault="00547B72" w:rsidP="00547B72">
      <w:pPr>
        <w:pStyle w:val="Footeraddress"/>
        <w:spacing w:before="0" w:after="0"/>
        <w:jc w:val="lef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4E12" w14:textId="0CC8CDA4" w:rsidR="00DE27CB" w:rsidRDefault="00DE27CB">
    <w:pPr>
      <w:pStyle w:val="Header"/>
    </w:pPr>
    <w:r>
      <w:t>Biosecurity Amendment (Strengthening Biosecurity) Bill 2022 – Penalties summary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DF95D02"/>
    <w:multiLevelType w:val="hybridMultilevel"/>
    <w:tmpl w:val="5A76C534"/>
    <w:lvl w:ilvl="0" w:tplc="943649D8">
      <w:start w:val="300"/>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pStyle w:val="ListBullet2"/>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94925055">
    <w:abstractNumId w:val="13"/>
  </w:num>
  <w:num w:numId="2" w16cid:durableId="1891961990">
    <w:abstractNumId w:val="12"/>
  </w:num>
  <w:num w:numId="3" w16cid:durableId="868682318">
    <w:abstractNumId w:val="5"/>
  </w:num>
  <w:num w:numId="4" w16cid:durableId="1977224377">
    <w:abstractNumId w:val="6"/>
  </w:num>
  <w:num w:numId="5" w16cid:durableId="1134715313">
    <w:abstractNumId w:val="3"/>
  </w:num>
  <w:num w:numId="6" w16cid:durableId="2124038029">
    <w:abstractNumId w:val="8"/>
  </w:num>
  <w:num w:numId="7" w16cid:durableId="1291211069">
    <w:abstractNumId w:val="16"/>
  </w:num>
  <w:num w:numId="8" w16cid:durableId="1472285116">
    <w:abstractNumId w:val="10"/>
  </w:num>
  <w:num w:numId="9" w16cid:durableId="42563669">
    <w:abstractNumId w:val="14"/>
  </w:num>
  <w:num w:numId="10" w16cid:durableId="610744579">
    <w:abstractNumId w:val="7"/>
  </w:num>
  <w:num w:numId="11" w16cid:durableId="1185897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0403474">
    <w:abstractNumId w:val="11"/>
  </w:num>
  <w:num w:numId="13" w16cid:durableId="1039284062">
    <w:abstractNumId w:val="15"/>
  </w:num>
  <w:num w:numId="14" w16cid:durableId="1059013201">
    <w:abstractNumId w:val="2"/>
  </w:num>
  <w:num w:numId="15" w16cid:durableId="1669285967">
    <w:abstractNumId w:val="1"/>
  </w:num>
  <w:num w:numId="16" w16cid:durableId="1414208428">
    <w:abstractNumId w:val="0"/>
  </w:num>
  <w:num w:numId="17" w16cid:durableId="1068303156">
    <w:abstractNumId w:val="4"/>
  </w:num>
  <w:num w:numId="18" w16cid:durableId="2295831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72"/>
    <w:rsid w:val="000C6A0F"/>
    <w:rsid w:val="000F7EC6"/>
    <w:rsid w:val="004C1F2D"/>
    <w:rsid w:val="00547B72"/>
    <w:rsid w:val="005A664A"/>
    <w:rsid w:val="00686AA7"/>
    <w:rsid w:val="006D1AD5"/>
    <w:rsid w:val="00795706"/>
    <w:rsid w:val="0094789E"/>
    <w:rsid w:val="00AB6010"/>
    <w:rsid w:val="00CB4587"/>
    <w:rsid w:val="00D84CBA"/>
    <w:rsid w:val="00DE27CB"/>
    <w:rsid w:val="00E122D4"/>
    <w:rsid w:val="00E63B6B"/>
    <w:rsid w:val="00E84B8D"/>
    <w:rsid w:val="00F97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A07F"/>
  <w15:chartTrackingRefBased/>
  <w15:docId w15:val="{6BE89288-2F7C-4024-9089-A816DD85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72"/>
    <w:pPr>
      <w:spacing w:before="120" w:after="0" w:line="240" w:lineRule="auto"/>
    </w:pPr>
    <w:rPr>
      <w:rFonts w:ascii="Cambria" w:eastAsia="Calibri" w:hAnsi="Cambria" w:cs="Times New Roman"/>
    </w:rPr>
  </w:style>
  <w:style w:type="paragraph" w:styleId="Heading1">
    <w:name w:val="heading 1"/>
    <w:next w:val="Normal"/>
    <w:link w:val="Heading1Char"/>
    <w:uiPriority w:val="1"/>
    <w:qFormat/>
    <w:rsid w:val="00547B72"/>
    <w:pPr>
      <w:keepNext/>
      <w:keepLines/>
      <w:spacing w:before="720" w:after="240" w:line="240" w:lineRule="auto"/>
      <w:outlineLvl w:val="0"/>
    </w:pPr>
    <w:rPr>
      <w:rFonts w:ascii="Calibri" w:eastAsiaTheme="minorEastAsia" w:hAnsi="Calibri"/>
      <w:b/>
      <w:bCs/>
      <w:color w:val="000000"/>
      <w:sz w:val="56"/>
      <w:szCs w:val="28"/>
      <w:lang w:eastAsia="ja-JP"/>
    </w:rPr>
  </w:style>
  <w:style w:type="paragraph" w:styleId="Heading2">
    <w:name w:val="heading 2"/>
    <w:basedOn w:val="Normal"/>
    <w:next w:val="Normal"/>
    <w:link w:val="Heading2Char"/>
    <w:uiPriority w:val="3"/>
    <w:qFormat/>
    <w:rsid w:val="00547B72"/>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547B72"/>
    <w:pPr>
      <w:keepNext/>
      <w:keepLines/>
      <w:numPr>
        <w:ilvl w:val="1"/>
        <w:numId w:val="9"/>
      </w:numPr>
      <w:spacing w:before="360" w:after="120" w:line="240" w:lineRule="auto"/>
      <w:outlineLvl w:val="2"/>
    </w:pPr>
    <w:rPr>
      <w:rFonts w:eastAsia="Times New Roman" w:cs="Times New Roman"/>
      <w:b/>
      <w:bCs/>
      <w:sz w:val="32"/>
      <w:szCs w:val="24"/>
    </w:rPr>
  </w:style>
  <w:style w:type="paragraph" w:styleId="Heading4">
    <w:name w:val="heading 4"/>
    <w:basedOn w:val="Heading5"/>
    <w:next w:val="Normal"/>
    <w:link w:val="Heading4Char"/>
    <w:uiPriority w:val="5"/>
    <w:qFormat/>
    <w:rsid w:val="00547B72"/>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rsid w:val="00547B72"/>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B72"/>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7B72"/>
    <w:pPr>
      <w:spacing w:before="0"/>
    </w:pPr>
    <w:rPr>
      <w:sz w:val="20"/>
      <w:szCs w:val="20"/>
    </w:rPr>
  </w:style>
  <w:style w:type="character" w:customStyle="1" w:styleId="FootnoteTextChar">
    <w:name w:val="Footnote Text Char"/>
    <w:basedOn w:val="DefaultParagraphFont"/>
    <w:link w:val="FootnoteText"/>
    <w:uiPriority w:val="99"/>
    <w:semiHidden/>
    <w:rsid w:val="00547B72"/>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547B72"/>
    <w:rPr>
      <w:vertAlign w:val="superscript"/>
    </w:rPr>
  </w:style>
  <w:style w:type="paragraph" w:customStyle="1" w:styleId="Footeraddress">
    <w:name w:val="Footer address"/>
    <w:basedOn w:val="Normal"/>
    <w:next w:val="ListBullet2"/>
    <w:semiHidden/>
    <w:qFormat/>
    <w:rsid w:val="00547B72"/>
    <w:pPr>
      <w:tabs>
        <w:tab w:val="center" w:pos="4536"/>
      </w:tabs>
      <w:spacing w:after="120"/>
      <w:jc w:val="center"/>
    </w:pPr>
    <w:rPr>
      <w:sz w:val="16"/>
    </w:rPr>
  </w:style>
  <w:style w:type="paragraph" w:styleId="ListBullet2">
    <w:name w:val="List Bullet 2"/>
    <w:basedOn w:val="Normal"/>
    <w:uiPriority w:val="8"/>
    <w:unhideWhenUsed/>
    <w:qFormat/>
    <w:rsid w:val="00547B72"/>
    <w:pPr>
      <w:numPr>
        <w:numId w:val="1"/>
      </w:numPr>
      <w:contextualSpacing/>
    </w:pPr>
  </w:style>
  <w:style w:type="table" w:customStyle="1" w:styleId="TableGrid3">
    <w:name w:val="Table Grid3"/>
    <w:basedOn w:val="TableNormal"/>
    <w:next w:val="TableGrid"/>
    <w:uiPriority w:val="59"/>
    <w:rsid w:val="00547B72"/>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7B72"/>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47B72"/>
    <w:rPr>
      <w:rFonts w:ascii="Calibri" w:eastAsiaTheme="minorEastAsia" w:hAnsi="Calibri"/>
      <w:b/>
      <w:bCs/>
      <w:color w:val="000000"/>
      <w:sz w:val="56"/>
      <w:szCs w:val="28"/>
      <w:lang w:eastAsia="ja-JP"/>
    </w:rPr>
  </w:style>
  <w:style w:type="character" w:customStyle="1" w:styleId="Heading2Char">
    <w:name w:val="Heading 2 Char"/>
    <w:basedOn w:val="DefaultParagraphFont"/>
    <w:link w:val="Heading2"/>
    <w:uiPriority w:val="3"/>
    <w:rsid w:val="00547B72"/>
    <w:rPr>
      <w:rFonts w:ascii="Calibri" w:eastAsia="Times New Roman" w:hAnsi="Calibri" w:cs="Times New Roman"/>
      <w:bCs/>
      <w:color w:val="000000"/>
      <w:sz w:val="56"/>
      <w:szCs w:val="28"/>
      <w:lang w:eastAsia="ja-JP"/>
    </w:rPr>
  </w:style>
  <w:style w:type="character" w:customStyle="1" w:styleId="Heading3Char">
    <w:name w:val="Heading 3 Char"/>
    <w:basedOn w:val="DefaultParagraphFont"/>
    <w:link w:val="Heading3"/>
    <w:uiPriority w:val="4"/>
    <w:rsid w:val="00547B72"/>
    <w:rPr>
      <w:rFonts w:eastAsia="Times New Roman" w:cs="Times New Roman"/>
      <w:b/>
      <w:bCs/>
      <w:sz w:val="32"/>
      <w:szCs w:val="24"/>
    </w:rPr>
  </w:style>
  <w:style w:type="character" w:customStyle="1" w:styleId="Heading4Char">
    <w:name w:val="Heading 4 Char"/>
    <w:basedOn w:val="DefaultParagraphFont"/>
    <w:link w:val="Heading4"/>
    <w:uiPriority w:val="5"/>
    <w:rsid w:val="00547B72"/>
    <w:rPr>
      <w:rFonts w:ascii="Cambria" w:eastAsiaTheme="minorEastAsia" w:hAnsi="Cambria"/>
      <w:b/>
      <w:sz w:val="28"/>
      <w:lang w:eastAsia="ja-JP"/>
    </w:rPr>
  </w:style>
  <w:style w:type="character" w:customStyle="1" w:styleId="Heading5Char">
    <w:name w:val="Heading 5 Char"/>
    <w:basedOn w:val="DefaultParagraphFont"/>
    <w:link w:val="Heading5"/>
    <w:uiPriority w:val="9"/>
    <w:rsid w:val="00547B72"/>
    <w:rPr>
      <w:rFonts w:ascii="Cambria" w:eastAsiaTheme="majorEastAsia" w:hAnsi="Cambria" w:cstheme="majorBidi"/>
      <w:b/>
      <w:i/>
      <w:sz w:val="24"/>
    </w:rPr>
  </w:style>
  <w:style w:type="numbering" w:customStyle="1" w:styleId="List1">
    <w:name w:val="List1"/>
    <w:basedOn w:val="NoList"/>
    <w:uiPriority w:val="99"/>
    <w:rsid w:val="00547B72"/>
    <w:pPr>
      <w:numPr>
        <w:numId w:val="1"/>
      </w:numPr>
    </w:pPr>
  </w:style>
  <w:style w:type="paragraph" w:styleId="TOC1">
    <w:name w:val="toc 1"/>
    <w:basedOn w:val="Normal"/>
    <w:next w:val="Normal"/>
    <w:uiPriority w:val="39"/>
    <w:unhideWhenUsed/>
    <w:qFormat/>
    <w:rsid w:val="00547B72"/>
    <w:pPr>
      <w:tabs>
        <w:tab w:val="left" w:pos="426"/>
        <w:tab w:val="right" w:leader="dot" w:pos="9072"/>
      </w:tabs>
      <w:spacing w:after="120"/>
    </w:pPr>
    <w:rPr>
      <w:b/>
      <w:noProof/>
    </w:rPr>
  </w:style>
  <w:style w:type="paragraph" w:styleId="TOC2">
    <w:name w:val="toc 2"/>
    <w:basedOn w:val="Normal"/>
    <w:next w:val="Normal"/>
    <w:uiPriority w:val="39"/>
    <w:unhideWhenUsed/>
    <w:qFormat/>
    <w:rsid w:val="00547B72"/>
    <w:pPr>
      <w:tabs>
        <w:tab w:val="right" w:leader="dot" w:pos="9060"/>
      </w:tabs>
      <w:spacing w:after="120"/>
      <w:ind w:firstLine="425"/>
    </w:pPr>
    <w:rPr>
      <w:noProof/>
    </w:rPr>
  </w:style>
  <w:style w:type="paragraph" w:styleId="TOC3">
    <w:name w:val="toc 3"/>
    <w:basedOn w:val="Normal"/>
    <w:next w:val="Normal"/>
    <w:uiPriority w:val="39"/>
    <w:unhideWhenUsed/>
    <w:qFormat/>
    <w:rsid w:val="00547B72"/>
    <w:pPr>
      <w:tabs>
        <w:tab w:val="right" w:leader="dot" w:pos="9072"/>
      </w:tabs>
      <w:spacing w:after="120"/>
      <w:ind w:firstLine="851"/>
    </w:pPr>
    <w:rPr>
      <w:noProof/>
    </w:rPr>
  </w:style>
  <w:style w:type="paragraph" w:styleId="Caption">
    <w:name w:val="caption"/>
    <w:basedOn w:val="Normal"/>
    <w:next w:val="Normal"/>
    <w:uiPriority w:val="12"/>
    <w:qFormat/>
    <w:rsid w:val="00547B72"/>
    <w:pPr>
      <w:keepNext/>
      <w:spacing w:before="360" w:after="120"/>
    </w:pPr>
    <w:rPr>
      <w:b/>
      <w:bCs/>
      <w:sz w:val="24"/>
      <w:szCs w:val="18"/>
    </w:rPr>
  </w:style>
  <w:style w:type="paragraph" w:styleId="ListBullet">
    <w:name w:val="List Bullet"/>
    <w:basedOn w:val="Normal"/>
    <w:uiPriority w:val="7"/>
    <w:qFormat/>
    <w:rsid w:val="00547B72"/>
    <w:pPr>
      <w:tabs>
        <w:tab w:val="num" w:pos="425"/>
      </w:tabs>
      <w:spacing w:after="120"/>
      <w:ind w:left="425" w:hanging="425"/>
    </w:pPr>
  </w:style>
  <w:style w:type="paragraph" w:styleId="ListNumber">
    <w:name w:val="List Number"/>
    <w:basedOn w:val="Normal"/>
    <w:uiPriority w:val="9"/>
    <w:qFormat/>
    <w:rsid w:val="00547B72"/>
    <w:pPr>
      <w:numPr>
        <w:numId w:val="8"/>
      </w:numPr>
      <w:spacing w:after="120"/>
    </w:pPr>
  </w:style>
  <w:style w:type="paragraph" w:styleId="ListNumber2">
    <w:name w:val="List Number 2"/>
    <w:uiPriority w:val="10"/>
    <w:qFormat/>
    <w:rsid w:val="00547B72"/>
    <w:pPr>
      <w:numPr>
        <w:ilvl w:val="1"/>
        <w:numId w:val="8"/>
      </w:numPr>
      <w:spacing w:before="120" w:after="120" w:line="264" w:lineRule="auto"/>
    </w:pPr>
    <w:rPr>
      <w:rFonts w:ascii="Cambria" w:eastAsia="Times New Roman" w:hAnsi="Cambria" w:cs="Times New Roman"/>
      <w:szCs w:val="24"/>
    </w:rPr>
  </w:style>
  <w:style w:type="paragraph" w:styleId="ListNumber3">
    <w:name w:val="List Number 3"/>
    <w:uiPriority w:val="11"/>
    <w:qFormat/>
    <w:rsid w:val="00547B72"/>
    <w:pPr>
      <w:numPr>
        <w:ilvl w:val="2"/>
        <w:numId w:val="8"/>
      </w:numPr>
      <w:spacing w:before="120" w:after="120" w:line="264" w:lineRule="auto"/>
    </w:pPr>
    <w:rPr>
      <w:rFonts w:ascii="Cambria" w:eastAsia="Times New Roman" w:hAnsi="Cambria" w:cs="Times New Roman"/>
      <w:szCs w:val="24"/>
    </w:rPr>
  </w:style>
  <w:style w:type="paragraph" w:customStyle="1" w:styleId="DisseminationLimitingMarker">
    <w:name w:val="Dissemination Limiting Marker"/>
    <w:next w:val="Normal"/>
    <w:uiPriority w:val="27"/>
    <w:rsid w:val="00547B72"/>
    <w:pPr>
      <w:tabs>
        <w:tab w:val="center" w:pos="4820"/>
      </w:tabs>
      <w:spacing w:after="0" w:line="240" w:lineRule="auto"/>
      <w:jc w:val="center"/>
    </w:pPr>
    <w:rPr>
      <w:rFonts w:ascii="Calibri" w:eastAsia="Calibri" w:hAnsi="Calibri" w:cs="Times New Roman"/>
      <w:b/>
      <w:color w:val="FF0000"/>
      <w:sz w:val="36"/>
      <w:szCs w:val="36"/>
    </w:rPr>
  </w:style>
  <w:style w:type="character" w:styleId="Hyperlink">
    <w:name w:val="Hyperlink"/>
    <w:basedOn w:val="DefaultParagraphFont"/>
    <w:uiPriority w:val="99"/>
    <w:qFormat/>
    <w:rsid w:val="00547B72"/>
    <w:rPr>
      <w:color w:val="165788"/>
      <w:u w:val="single"/>
    </w:rPr>
  </w:style>
  <w:style w:type="character" w:styleId="Strong">
    <w:name w:val="Strong"/>
    <w:basedOn w:val="DefaultParagraphFont"/>
    <w:uiPriority w:val="99"/>
    <w:qFormat/>
    <w:rsid w:val="00547B72"/>
    <w:rPr>
      <w:b/>
      <w:bCs/>
    </w:rPr>
  </w:style>
  <w:style w:type="character" w:styleId="Emphasis">
    <w:name w:val="Emphasis"/>
    <w:basedOn w:val="DefaultParagraphFont"/>
    <w:uiPriority w:val="99"/>
    <w:qFormat/>
    <w:rsid w:val="00547B72"/>
    <w:rPr>
      <w:i/>
      <w:iCs/>
    </w:rPr>
  </w:style>
  <w:style w:type="paragraph" w:styleId="Quote">
    <w:name w:val="Quote"/>
    <w:basedOn w:val="Normal"/>
    <w:next w:val="Normal"/>
    <w:link w:val="QuoteChar"/>
    <w:uiPriority w:val="18"/>
    <w:qFormat/>
    <w:rsid w:val="00547B72"/>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547B72"/>
    <w:rPr>
      <w:rFonts w:ascii="Cambria" w:eastAsia="Times New Roman" w:hAnsi="Cambria" w:cs="Times New Roman"/>
      <w:iCs/>
      <w:color w:val="000000"/>
      <w:sz w:val="20"/>
      <w:szCs w:val="24"/>
    </w:rPr>
  </w:style>
  <w:style w:type="paragraph" w:styleId="TOCHeading">
    <w:name w:val="TOC Heading"/>
    <w:next w:val="Normal"/>
    <w:uiPriority w:val="39"/>
    <w:qFormat/>
    <w:rsid w:val="00547B72"/>
    <w:pPr>
      <w:pageBreakBefore/>
      <w:spacing w:before="480" w:after="0" w:line="276" w:lineRule="auto"/>
    </w:pPr>
    <w:rPr>
      <w:rFonts w:ascii="Calibri" w:eastAsiaTheme="minorEastAsia" w:hAnsi="Calibri"/>
      <w:bCs/>
      <w:color w:val="000000"/>
      <w:sz w:val="56"/>
      <w:szCs w:val="28"/>
      <w:lang w:eastAsia="ja-JP"/>
    </w:rPr>
  </w:style>
  <w:style w:type="paragraph" w:styleId="Footer">
    <w:name w:val="footer"/>
    <w:next w:val="Footeraddress"/>
    <w:link w:val="FooterChar"/>
    <w:uiPriority w:val="99"/>
    <w:unhideWhenUsed/>
    <w:rsid w:val="00547B72"/>
    <w:pPr>
      <w:tabs>
        <w:tab w:val="right" w:pos="9026"/>
      </w:tabs>
      <w:spacing w:after="0" w:line="240" w:lineRule="auto"/>
    </w:pPr>
    <w:rPr>
      <w:rFonts w:ascii="Calibri" w:hAnsi="Calibri" w:cs="Times New Roman"/>
      <w:sz w:val="20"/>
      <w:szCs w:val="20"/>
      <w:lang w:eastAsia="en-AU"/>
    </w:rPr>
  </w:style>
  <w:style w:type="character" w:customStyle="1" w:styleId="FooterChar">
    <w:name w:val="Footer Char"/>
    <w:basedOn w:val="DefaultParagraphFont"/>
    <w:link w:val="Footer"/>
    <w:uiPriority w:val="99"/>
    <w:rsid w:val="00547B72"/>
    <w:rPr>
      <w:rFonts w:ascii="Calibri" w:hAnsi="Calibri" w:cs="Times New Roman"/>
      <w:sz w:val="20"/>
      <w:szCs w:val="20"/>
      <w:lang w:eastAsia="en-AU"/>
    </w:rPr>
  </w:style>
  <w:style w:type="paragraph" w:customStyle="1" w:styleId="BoxText">
    <w:name w:val="Box Text"/>
    <w:basedOn w:val="Normal"/>
    <w:uiPriority w:val="19"/>
    <w:qFormat/>
    <w:rsid w:val="00547B72"/>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547B72"/>
    <w:pPr>
      <w:spacing w:line="264" w:lineRule="auto"/>
      <w:contextualSpacing/>
    </w:pPr>
    <w:rPr>
      <w:sz w:val="18"/>
    </w:rPr>
  </w:style>
  <w:style w:type="paragraph" w:customStyle="1" w:styleId="BasicParagraph">
    <w:name w:val="[Basic Paragraph]"/>
    <w:basedOn w:val="Normal"/>
    <w:uiPriority w:val="99"/>
    <w:rsid w:val="00547B72"/>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547B72"/>
    <w:pPr>
      <w:spacing w:before="60" w:after="60"/>
    </w:pPr>
    <w:rPr>
      <w:sz w:val="18"/>
    </w:rPr>
  </w:style>
  <w:style w:type="paragraph" w:customStyle="1" w:styleId="TableHeading">
    <w:name w:val="Table Heading"/>
    <w:basedOn w:val="TableText"/>
    <w:uiPriority w:val="14"/>
    <w:qFormat/>
    <w:rsid w:val="00547B72"/>
    <w:pPr>
      <w:keepNext/>
    </w:pPr>
    <w:rPr>
      <w:b/>
    </w:rPr>
  </w:style>
  <w:style w:type="numbering" w:customStyle="1" w:styleId="Headings">
    <w:name w:val="Headings"/>
    <w:uiPriority w:val="99"/>
    <w:rsid w:val="00547B72"/>
    <w:pPr>
      <w:numPr>
        <w:numId w:val="9"/>
      </w:numPr>
    </w:pPr>
  </w:style>
  <w:style w:type="paragraph" w:customStyle="1" w:styleId="Preliminarycontentheading">
    <w:name w:val="Preliminary content heading"/>
    <w:link w:val="PreliminarycontentheadingChar"/>
    <w:uiPriority w:val="28"/>
    <w:qFormat/>
    <w:rsid w:val="00547B72"/>
    <w:pPr>
      <w:pageBreakBefore/>
      <w:spacing w:after="0" w:line="240" w:lineRule="auto"/>
    </w:pPr>
    <w:rPr>
      <w:rFonts w:ascii="Calibri" w:eastAsia="Times New Roman" w:hAnsi="Calibri" w:cs="Times New Roman"/>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547B72"/>
    <w:rPr>
      <w:rFonts w:ascii="Calibri" w:eastAsia="Times New Roman" w:hAnsi="Calibri" w:cs="Times New Roman"/>
      <w:bCs/>
      <w:color w:val="000000"/>
      <w:sz w:val="56"/>
      <w:szCs w:val="28"/>
      <w:lang w:eastAsia="ja-JP"/>
    </w:rPr>
  </w:style>
  <w:style w:type="paragraph" w:customStyle="1" w:styleId="BoxTextBullet">
    <w:name w:val="Box Text Bullet"/>
    <w:basedOn w:val="BoxText"/>
    <w:uiPriority w:val="21"/>
    <w:qFormat/>
    <w:rsid w:val="00547B72"/>
    <w:pPr>
      <w:numPr>
        <w:numId w:val="2"/>
      </w:numPr>
      <w:tabs>
        <w:tab w:val="left" w:pos="227"/>
      </w:tabs>
      <w:ind w:left="0" w:firstLine="0"/>
    </w:pPr>
  </w:style>
  <w:style w:type="paragraph" w:customStyle="1" w:styleId="TableBullet">
    <w:name w:val="Table Bullet"/>
    <w:basedOn w:val="TableText"/>
    <w:uiPriority w:val="15"/>
    <w:qFormat/>
    <w:rsid w:val="00547B72"/>
    <w:pPr>
      <w:numPr>
        <w:numId w:val="3"/>
      </w:numPr>
    </w:pPr>
  </w:style>
  <w:style w:type="paragraph" w:customStyle="1" w:styleId="BoxHeading">
    <w:name w:val="Box Heading"/>
    <w:basedOn w:val="BoxText"/>
    <w:uiPriority w:val="20"/>
    <w:qFormat/>
    <w:rsid w:val="00547B72"/>
    <w:rPr>
      <w:b/>
    </w:rPr>
  </w:style>
  <w:style w:type="paragraph" w:customStyle="1" w:styleId="Securityclassification">
    <w:name w:val="Security classification"/>
    <w:basedOn w:val="Normal"/>
    <w:uiPriority w:val="26"/>
    <w:qFormat/>
    <w:rsid w:val="00547B72"/>
    <w:pPr>
      <w:tabs>
        <w:tab w:val="center" w:pos="4820"/>
      </w:tabs>
      <w:jc w:val="center"/>
    </w:pPr>
    <w:rPr>
      <w:b/>
      <w:caps/>
      <w:color w:val="FF0000"/>
      <w:sz w:val="36"/>
      <w:szCs w:val="36"/>
    </w:rPr>
  </w:style>
  <w:style w:type="paragraph" w:styleId="Header">
    <w:name w:val="header"/>
    <w:link w:val="HeaderChar"/>
    <w:unhideWhenUsed/>
    <w:rsid w:val="00547B72"/>
    <w:pPr>
      <w:tabs>
        <w:tab w:val="right" w:pos="9026"/>
      </w:tabs>
      <w:spacing w:after="0" w:line="240" w:lineRule="auto"/>
    </w:pPr>
    <w:rPr>
      <w:rFonts w:ascii="Calibri" w:hAnsi="Calibri" w:cs="Times New Roman"/>
      <w:sz w:val="20"/>
      <w:szCs w:val="20"/>
      <w:lang w:eastAsia="en-AU"/>
    </w:rPr>
  </w:style>
  <w:style w:type="character" w:customStyle="1" w:styleId="HeaderChar">
    <w:name w:val="Header Char"/>
    <w:basedOn w:val="DefaultParagraphFont"/>
    <w:link w:val="Header"/>
    <w:rsid w:val="00547B72"/>
    <w:rPr>
      <w:rFonts w:ascii="Calibri" w:hAnsi="Calibri" w:cs="Times New Roman"/>
      <w:sz w:val="20"/>
      <w:szCs w:val="20"/>
      <w:lang w:eastAsia="en-AU"/>
    </w:rPr>
  </w:style>
  <w:style w:type="paragraph" w:customStyle="1" w:styleId="BoxSource">
    <w:name w:val="Box Source"/>
    <w:basedOn w:val="FigureTableNoteSource"/>
    <w:uiPriority w:val="22"/>
    <w:qFormat/>
    <w:rsid w:val="00547B72"/>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547B72"/>
    <w:pPr>
      <w:pageBreakBefore/>
      <w:numPr>
        <w:numId w:val="12"/>
      </w:numPr>
      <w:spacing w:after="240" w:line="240" w:lineRule="auto"/>
    </w:pPr>
    <w:rPr>
      <w:rFonts w:eastAsia="Times New Roman" w:cs="Times New Roman"/>
      <w:b/>
      <w:bCs/>
      <w:sz w:val="56"/>
      <w:szCs w:val="24"/>
    </w:rPr>
  </w:style>
  <w:style w:type="paragraph" w:styleId="BalloonText">
    <w:name w:val="Balloon Text"/>
    <w:basedOn w:val="Normal"/>
    <w:link w:val="BalloonTextChar"/>
    <w:uiPriority w:val="99"/>
    <w:semiHidden/>
    <w:unhideWhenUsed/>
    <w:rsid w:val="00547B72"/>
    <w:rPr>
      <w:rFonts w:ascii="Tahoma" w:hAnsi="Tahoma" w:cs="Tahoma"/>
      <w:sz w:val="16"/>
      <w:szCs w:val="16"/>
    </w:rPr>
  </w:style>
  <w:style w:type="character" w:customStyle="1" w:styleId="BalloonTextChar">
    <w:name w:val="Balloon Text Char"/>
    <w:basedOn w:val="DefaultParagraphFont"/>
    <w:link w:val="BalloonText"/>
    <w:uiPriority w:val="99"/>
    <w:semiHidden/>
    <w:rsid w:val="00547B72"/>
    <w:rPr>
      <w:rFonts w:ascii="Tahoma" w:eastAsia="Calibri" w:hAnsi="Tahoma" w:cs="Tahoma"/>
      <w:sz w:val="16"/>
      <w:szCs w:val="16"/>
    </w:rPr>
  </w:style>
  <w:style w:type="paragraph" w:styleId="TableofFigures">
    <w:name w:val="table of figures"/>
    <w:basedOn w:val="Normal"/>
    <w:next w:val="Normal"/>
    <w:uiPriority w:val="99"/>
    <w:unhideWhenUsed/>
    <w:rsid w:val="00547B72"/>
  </w:style>
  <w:style w:type="numbering" w:customStyle="1" w:styleId="Appendix">
    <w:name w:val="Appendix"/>
    <w:uiPriority w:val="99"/>
    <w:rsid w:val="00547B72"/>
    <w:pPr>
      <w:numPr>
        <w:numId w:val="10"/>
      </w:numPr>
    </w:pPr>
  </w:style>
  <w:style w:type="character" w:styleId="CommentReference">
    <w:name w:val="annotation reference"/>
    <w:basedOn w:val="DefaultParagraphFont"/>
    <w:uiPriority w:val="99"/>
    <w:semiHidden/>
    <w:unhideWhenUsed/>
    <w:rsid w:val="00547B72"/>
    <w:rPr>
      <w:sz w:val="16"/>
      <w:szCs w:val="16"/>
    </w:rPr>
  </w:style>
  <w:style w:type="paragraph" w:styleId="CommentText">
    <w:name w:val="annotation text"/>
    <w:basedOn w:val="Normal"/>
    <w:link w:val="CommentTextChar"/>
    <w:uiPriority w:val="99"/>
    <w:semiHidden/>
    <w:unhideWhenUsed/>
    <w:rsid w:val="00547B72"/>
    <w:rPr>
      <w:sz w:val="20"/>
      <w:szCs w:val="20"/>
    </w:rPr>
  </w:style>
  <w:style w:type="character" w:customStyle="1" w:styleId="CommentTextChar">
    <w:name w:val="Comment Text Char"/>
    <w:basedOn w:val="DefaultParagraphFont"/>
    <w:link w:val="CommentText"/>
    <w:uiPriority w:val="99"/>
    <w:semiHidden/>
    <w:rsid w:val="00547B7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47B72"/>
    <w:rPr>
      <w:b/>
      <w:bCs/>
    </w:rPr>
  </w:style>
  <w:style w:type="character" w:customStyle="1" w:styleId="CommentSubjectChar">
    <w:name w:val="Comment Subject Char"/>
    <w:basedOn w:val="CommentTextChar"/>
    <w:link w:val="CommentSubject"/>
    <w:uiPriority w:val="99"/>
    <w:semiHidden/>
    <w:rsid w:val="00547B72"/>
    <w:rPr>
      <w:rFonts w:ascii="Cambria" w:eastAsia="Calibri" w:hAnsi="Cambria" w:cs="Times New Roman"/>
      <w:b/>
      <w:bCs/>
      <w:sz w:val="20"/>
      <w:szCs w:val="20"/>
    </w:rPr>
  </w:style>
  <w:style w:type="character" w:styleId="FollowedHyperlink">
    <w:name w:val="FollowedHyperlink"/>
    <w:basedOn w:val="DefaultParagraphFont"/>
    <w:uiPriority w:val="99"/>
    <w:semiHidden/>
    <w:unhideWhenUsed/>
    <w:rsid w:val="00547B72"/>
    <w:rPr>
      <w:color w:val="954F72" w:themeColor="followedHyperlink"/>
      <w:u w:val="single"/>
    </w:rPr>
  </w:style>
  <w:style w:type="numbering" w:customStyle="1" w:styleId="ListBullets">
    <w:name w:val="ListBullets"/>
    <w:uiPriority w:val="99"/>
    <w:rsid w:val="00547B72"/>
    <w:pPr>
      <w:numPr>
        <w:numId w:val="4"/>
      </w:numPr>
    </w:pPr>
  </w:style>
  <w:style w:type="paragraph" w:styleId="ListBullet4">
    <w:name w:val="List Bullet 4"/>
    <w:basedOn w:val="Normal"/>
    <w:uiPriority w:val="99"/>
    <w:unhideWhenUsed/>
    <w:rsid w:val="00547B72"/>
    <w:pPr>
      <w:numPr>
        <w:numId w:val="5"/>
      </w:numPr>
      <w:contextualSpacing/>
    </w:pPr>
  </w:style>
  <w:style w:type="paragraph" w:styleId="ListBullet3">
    <w:name w:val="List Bullet 3"/>
    <w:basedOn w:val="Normal"/>
    <w:uiPriority w:val="99"/>
    <w:unhideWhenUsed/>
    <w:rsid w:val="00547B72"/>
    <w:pPr>
      <w:tabs>
        <w:tab w:val="num" w:pos="794"/>
      </w:tabs>
      <w:ind w:left="1219" w:hanging="425"/>
      <w:contextualSpacing/>
    </w:pPr>
  </w:style>
  <w:style w:type="numbering" w:customStyle="1" w:styleId="ListNumbers">
    <w:name w:val="ListNumbers"/>
    <w:uiPriority w:val="99"/>
    <w:rsid w:val="00547B72"/>
    <w:pPr>
      <w:numPr>
        <w:numId w:val="7"/>
      </w:numPr>
    </w:pPr>
  </w:style>
  <w:style w:type="paragraph" w:customStyle="1" w:styleId="Picture">
    <w:name w:val="Picture"/>
    <w:qFormat/>
    <w:rsid w:val="00547B72"/>
    <w:pPr>
      <w:spacing w:after="0" w:line="240" w:lineRule="auto"/>
    </w:pPr>
    <w:rPr>
      <w:rFonts w:ascii="Calibri" w:eastAsiaTheme="minorEastAsia" w:hAnsi="Calibri"/>
      <w:bCs/>
      <w:color w:val="000000"/>
      <w:szCs w:val="28"/>
      <w:lang w:eastAsia="ja-JP"/>
    </w:rPr>
  </w:style>
  <w:style w:type="paragraph" w:styleId="Subtitle">
    <w:name w:val="Subtitle"/>
    <w:basedOn w:val="Normal"/>
    <w:next w:val="Normal"/>
    <w:link w:val="SubtitleChar"/>
    <w:uiPriority w:val="23"/>
    <w:qFormat/>
    <w:rsid w:val="00547B72"/>
    <w:pPr>
      <w:ind w:left="1701"/>
    </w:pPr>
    <w:rPr>
      <w:sz w:val="40"/>
      <w:szCs w:val="40"/>
      <w:lang w:eastAsia="ja-JP"/>
    </w:rPr>
  </w:style>
  <w:style w:type="character" w:customStyle="1" w:styleId="SubtitleChar">
    <w:name w:val="Subtitle Char"/>
    <w:basedOn w:val="DefaultParagraphFont"/>
    <w:link w:val="Subtitle"/>
    <w:uiPriority w:val="23"/>
    <w:rsid w:val="00547B72"/>
    <w:rPr>
      <w:rFonts w:ascii="Cambria" w:eastAsia="Calibri" w:hAnsi="Cambria" w:cs="Times New Roman"/>
      <w:sz w:val="40"/>
      <w:szCs w:val="40"/>
      <w:lang w:eastAsia="ja-JP"/>
    </w:rPr>
  </w:style>
  <w:style w:type="paragraph" w:styleId="Date">
    <w:name w:val="Date"/>
    <w:basedOn w:val="Normal"/>
    <w:next w:val="Normal"/>
    <w:link w:val="DateChar"/>
    <w:uiPriority w:val="99"/>
    <w:unhideWhenUsed/>
    <w:rsid w:val="00547B72"/>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547B72"/>
    <w:rPr>
      <w:rFonts w:ascii="Cambria" w:eastAsia="Calibri" w:hAnsi="Cambria" w:cs="Times New Roman"/>
      <w:sz w:val="28"/>
      <w:szCs w:val="28"/>
    </w:rPr>
  </w:style>
  <w:style w:type="paragraph" w:customStyle="1" w:styleId="AppendixHeading2">
    <w:name w:val="Appendix Heading 2"/>
    <w:qFormat/>
    <w:rsid w:val="00547B72"/>
    <w:pPr>
      <w:numPr>
        <w:ilvl w:val="1"/>
        <w:numId w:val="12"/>
      </w:numPr>
      <w:spacing w:after="0" w:line="240" w:lineRule="auto"/>
    </w:pPr>
    <w:rPr>
      <w:rFonts w:eastAsia="Times New Roman" w:cs="Times New Roman"/>
      <w:b/>
      <w:bCs/>
      <w:sz w:val="32"/>
      <w:szCs w:val="24"/>
    </w:rPr>
  </w:style>
  <w:style w:type="paragraph" w:customStyle="1" w:styleId="AppendixHeading3">
    <w:name w:val="Appendix Heading 3"/>
    <w:qFormat/>
    <w:rsid w:val="00547B72"/>
    <w:pPr>
      <w:keepNext/>
      <w:tabs>
        <w:tab w:val="num" w:pos="1077"/>
      </w:tabs>
      <w:spacing w:before="240" w:after="0" w:line="240" w:lineRule="auto"/>
      <w:ind w:left="1077" w:hanging="1077"/>
    </w:pPr>
    <w:rPr>
      <w:rFonts w:ascii="Cambria" w:eastAsia="Times New Roman" w:hAnsi="Cambria" w:cs="Times New Roman"/>
      <w:b/>
      <w:sz w:val="24"/>
      <w:szCs w:val="24"/>
      <w:lang w:val="en-US" w:bidi="en-US"/>
    </w:rPr>
  </w:style>
  <w:style w:type="paragraph" w:customStyle="1" w:styleId="AppendixHeading4">
    <w:name w:val="Appendix Heading 4"/>
    <w:qFormat/>
    <w:rsid w:val="00547B72"/>
    <w:pPr>
      <w:keepNext/>
      <w:tabs>
        <w:tab w:val="num" w:pos="1077"/>
      </w:tabs>
      <w:spacing w:after="120" w:line="240" w:lineRule="auto"/>
      <w:ind w:left="1077" w:hanging="1077"/>
    </w:pPr>
    <w:rPr>
      <w:rFonts w:ascii="Calibri" w:eastAsia="Times New Roman" w:hAnsi="Calibri" w:cs="Times New Roman"/>
      <w:b/>
      <w:szCs w:val="24"/>
      <w:lang w:val="en-US" w:bidi="en-US"/>
    </w:rPr>
  </w:style>
  <w:style w:type="paragraph" w:customStyle="1" w:styleId="Endmattercontentheading">
    <w:name w:val="Endmatter content heading"/>
    <w:basedOn w:val="Preliminarycontentheading"/>
    <w:qFormat/>
    <w:rsid w:val="00547B72"/>
  </w:style>
  <w:style w:type="paragraph" w:styleId="Revision">
    <w:name w:val="Revision"/>
    <w:hidden/>
    <w:uiPriority w:val="99"/>
    <w:semiHidden/>
    <w:rsid w:val="00547B72"/>
    <w:pPr>
      <w:spacing w:after="0" w:line="240" w:lineRule="auto"/>
    </w:pPr>
    <w:rPr>
      <w:rFonts w:ascii="Cambria" w:eastAsia="Calibri" w:hAnsi="Cambria" w:cs="Times New Roman"/>
    </w:rPr>
  </w:style>
  <w:style w:type="paragraph" w:styleId="ListParagraph">
    <w:name w:val="List Paragraph"/>
    <w:basedOn w:val="Normal"/>
    <w:uiPriority w:val="99"/>
    <w:qFormat/>
    <w:rsid w:val="00547B72"/>
    <w:pPr>
      <w:ind w:left="720"/>
      <w:contextualSpacing/>
    </w:pPr>
  </w:style>
  <w:style w:type="character" w:customStyle="1" w:styleId="cf01">
    <w:name w:val="cf01"/>
    <w:basedOn w:val="DefaultParagraphFont"/>
    <w:rsid w:val="00D84C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F0BE-1EB0-4730-BAB9-2E51E222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Dobbie, Chris</dc:creator>
  <cp:keywords/>
  <dc:description/>
  <cp:lastModifiedBy>Dobbie, Chris</cp:lastModifiedBy>
  <cp:revision>6</cp:revision>
  <dcterms:created xsi:type="dcterms:W3CDTF">2022-11-30T02:30:00Z</dcterms:created>
  <dcterms:modified xsi:type="dcterms:W3CDTF">2022-11-30T02:48:00Z</dcterms:modified>
</cp:coreProperties>
</file>