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D2" w:rsidRPr="008112AC" w:rsidRDefault="008112AC" w:rsidP="004C34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en-AU"/>
        </w:rPr>
      </w:pPr>
      <w:proofErr w:type="gramStart"/>
      <w:r w:rsidRPr="008112AC">
        <w:rPr>
          <w:rFonts w:ascii="Calibri-Bold" w:hAnsi="Calibri-Bold" w:cs="Calibri-Bold"/>
          <w:b/>
          <w:bCs/>
          <w:sz w:val="24"/>
          <w:szCs w:val="24"/>
          <w:lang w:val="en-AU"/>
        </w:rPr>
        <w:t>SHAREHOLDERS  SUPPORTING</w:t>
      </w:r>
      <w:proofErr w:type="gramEnd"/>
      <w:r w:rsidRPr="008112AC">
        <w:rPr>
          <w:rFonts w:ascii="Calibri-Bold" w:hAnsi="Calibri-Bold" w:cs="Calibri-Bold"/>
          <w:b/>
          <w:bCs/>
          <w:sz w:val="24"/>
          <w:szCs w:val="24"/>
          <w:lang w:val="en-AU"/>
        </w:rPr>
        <w:t xml:space="preserve"> THE MOTION</w:t>
      </w:r>
    </w:p>
    <w:p w:rsidR="006C58D2" w:rsidRPr="006C58D2" w:rsidRDefault="006C58D2" w:rsidP="007C707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  <w:lang w:val="en-AU"/>
        </w:rPr>
      </w:pPr>
      <w:r>
        <w:rPr>
          <w:rFonts w:ascii="Calibri" w:hAnsi="Calibri" w:cs="Calibri"/>
          <w:sz w:val="21"/>
          <w:szCs w:val="21"/>
          <w:lang w:val="en-AU"/>
        </w:rPr>
        <w:t xml:space="preserve">Please complete all fields of information </w:t>
      </w:r>
      <w:r w:rsidR="007C7071">
        <w:rPr>
          <w:rFonts w:ascii="Calibri" w:hAnsi="Calibri" w:cs="Calibri"/>
          <w:sz w:val="21"/>
          <w:szCs w:val="21"/>
          <w:lang w:val="en-AU"/>
        </w:rPr>
        <w:t>below in support of the proposed ordinary motion</w:t>
      </w:r>
    </w:p>
    <w:p w:rsidR="003A50BB" w:rsidRDefault="003A50BB" w:rsidP="006C58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  <w:lang w:val="en-AU"/>
        </w:rPr>
      </w:pPr>
    </w:p>
    <w:tbl>
      <w:tblPr>
        <w:tblStyle w:val="TableGrid"/>
        <w:tblW w:w="0" w:type="auto"/>
        <w:tblLook w:val="04A0"/>
      </w:tblPr>
      <w:tblGrid>
        <w:gridCol w:w="556"/>
        <w:gridCol w:w="3238"/>
        <w:gridCol w:w="4111"/>
        <w:gridCol w:w="4394"/>
        <w:gridCol w:w="877"/>
      </w:tblGrid>
      <w:tr w:rsidR="006C58D2" w:rsidTr="006C58D2">
        <w:trPr>
          <w:trHeight w:val="665"/>
        </w:trPr>
        <w:tc>
          <w:tcPr>
            <w:tcW w:w="556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3238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Full Name of AWI Share holder (Please Print)</w:t>
            </w:r>
            <w:r w:rsidR="007C7071"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 xml:space="preserve"> </w:t>
            </w:r>
            <w:r w:rsidR="007C7071" w:rsidRPr="004842E7">
              <w:rPr>
                <w:rFonts w:ascii="Calibri-Bold" w:hAnsi="Calibri-Bold" w:cs="Calibri-Bold"/>
                <w:b/>
                <w:bCs/>
                <w:sz w:val="21"/>
                <w:szCs w:val="21"/>
                <w:highlight w:val="yellow"/>
                <w:lang w:val="en-AU"/>
              </w:rPr>
              <w:t>as per your AWI Shareholder registration</w:t>
            </w:r>
          </w:p>
        </w:tc>
        <w:tc>
          <w:tcPr>
            <w:tcW w:w="4111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Contact Details (incl. postcode)</w:t>
            </w:r>
            <w:r w:rsidR="007C7071"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 xml:space="preserve"> </w:t>
            </w:r>
            <w:r w:rsidR="007C7071" w:rsidRPr="004842E7">
              <w:rPr>
                <w:rFonts w:ascii="Calibri-Bold" w:hAnsi="Calibri-Bold" w:cs="Calibri-Bold"/>
                <w:b/>
                <w:bCs/>
                <w:sz w:val="21"/>
                <w:szCs w:val="21"/>
                <w:highlight w:val="yellow"/>
                <w:lang w:val="en-AU"/>
              </w:rPr>
              <w:t>as per your AWI Shareholder registration</w:t>
            </w:r>
          </w:p>
        </w:tc>
        <w:tc>
          <w:tcPr>
            <w:tcW w:w="4394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Signature (for joint holding, any joint holder may sign)</w:t>
            </w:r>
          </w:p>
        </w:tc>
        <w:tc>
          <w:tcPr>
            <w:tcW w:w="877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Date</w:t>
            </w:r>
          </w:p>
        </w:tc>
      </w:tr>
      <w:tr w:rsidR="006C58D2" w:rsidTr="006C58D2">
        <w:tc>
          <w:tcPr>
            <w:tcW w:w="556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1</w:t>
            </w:r>
          </w:p>
        </w:tc>
        <w:tc>
          <w:tcPr>
            <w:tcW w:w="3238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11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94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877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</w:tr>
      <w:tr w:rsidR="006C58D2" w:rsidTr="006C58D2">
        <w:tc>
          <w:tcPr>
            <w:tcW w:w="556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2</w:t>
            </w:r>
          </w:p>
        </w:tc>
        <w:tc>
          <w:tcPr>
            <w:tcW w:w="3238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11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94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877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</w:tr>
      <w:tr w:rsidR="006C58D2" w:rsidTr="006C58D2">
        <w:tc>
          <w:tcPr>
            <w:tcW w:w="556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3</w:t>
            </w:r>
          </w:p>
        </w:tc>
        <w:tc>
          <w:tcPr>
            <w:tcW w:w="3238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11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94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877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</w:tr>
      <w:tr w:rsidR="006C58D2" w:rsidTr="006C58D2">
        <w:tc>
          <w:tcPr>
            <w:tcW w:w="556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4</w:t>
            </w:r>
          </w:p>
        </w:tc>
        <w:tc>
          <w:tcPr>
            <w:tcW w:w="3238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11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94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877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</w:tr>
      <w:tr w:rsidR="006C58D2" w:rsidTr="006C58D2">
        <w:tc>
          <w:tcPr>
            <w:tcW w:w="556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5</w:t>
            </w:r>
          </w:p>
        </w:tc>
        <w:tc>
          <w:tcPr>
            <w:tcW w:w="3238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11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94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877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</w:tr>
      <w:tr w:rsidR="006C58D2" w:rsidTr="006C58D2">
        <w:tc>
          <w:tcPr>
            <w:tcW w:w="556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6</w:t>
            </w:r>
          </w:p>
        </w:tc>
        <w:tc>
          <w:tcPr>
            <w:tcW w:w="3238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11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94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877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</w:tr>
      <w:tr w:rsidR="006C58D2" w:rsidTr="006C58D2">
        <w:tc>
          <w:tcPr>
            <w:tcW w:w="556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7</w:t>
            </w:r>
          </w:p>
        </w:tc>
        <w:tc>
          <w:tcPr>
            <w:tcW w:w="3238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11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94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877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</w:tr>
      <w:tr w:rsidR="006C58D2" w:rsidTr="006C58D2">
        <w:tc>
          <w:tcPr>
            <w:tcW w:w="556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8</w:t>
            </w:r>
          </w:p>
        </w:tc>
        <w:tc>
          <w:tcPr>
            <w:tcW w:w="3238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11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94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877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</w:tr>
      <w:tr w:rsidR="006C58D2" w:rsidTr="006C58D2">
        <w:tc>
          <w:tcPr>
            <w:tcW w:w="556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9</w:t>
            </w:r>
          </w:p>
        </w:tc>
        <w:tc>
          <w:tcPr>
            <w:tcW w:w="3238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11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94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877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</w:tr>
      <w:tr w:rsidR="006C58D2" w:rsidTr="006C58D2">
        <w:tc>
          <w:tcPr>
            <w:tcW w:w="556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  <w:t>10</w:t>
            </w:r>
          </w:p>
        </w:tc>
        <w:tc>
          <w:tcPr>
            <w:tcW w:w="3238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111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94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877" w:type="dxa"/>
          </w:tcPr>
          <w:p w:rsidR="006C58D2" w:rsidRDefault="006C58D2" w:rsidP="006C58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  <w:lang w:val="en-AU"/>
              </w:rPr>
            </w:pPr>
          </w:p>
        </w:tc>
      </w:tr>
    </w:tbl>
    <w:p w:rsidR="006C58D2" w:rsidRDefault="006C58D2" w:rsidP="006C58D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  <w:lang w:val="en-AU"/>
        </w:rPr>
      </w:pPr>
    </w:p>
    <w:p w:rsidR="00565E6A" w:rsidRDefault="00565E6A" w:rsidP="00565E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n-AU"/>
        </w:rPr>
      </w:pPr>
      <w:r>
        <w:rPr>
          <w:rFonts w:ascii="Calibri" w:hAnsi="Calibri" w:cs="Calibri"/>
          <w:sz w:val="21"/>
          <w:szCs w:val="21"/>
          <w:lang w:val="en-AU"/>
        </w:rPr>
        <w:t>(Please provide and attach additional pages with the details and signatures of the required total of 100 or more eligible shareholders supporting the</w:t>
      </w:r>
    </w:p>
    <w:p w:rsidR="00565E6A" w:rsidRDefault="007D2FD2" w:rsidP="00565E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n-AU"/>
        </w:rPr>
      </w:pPr>
      <w:r>
        <w:rPr>
          <w:rFonts w:ascii="Calibri" w:hAnsi="Calibri" w:cs="Calibri"/>
          <w:sz w:val="21"/>
          <w:szCs w:val="21"/>
          <w:lang w:val="en-AU"/>
        </w:rPr>
        <w:t xml:space="preserve"> Motions below</w:t>
      </w:r>
      <w:r w:rsidR="00565E6A">
        <w:rPr>
          <w:rFonts w:ascii="Calibri" w:hAnsi="Calibri" w:cs="Calibri"/>
          <w:sz w:val="21"/>
          <w:szCs w:val="21"/>
          <w:lang w:val="en-AU"/>
        </w:rPr>
        <w:t>)</w:t>
      </w:r>
    </w:p>
    <w:p w:rsidR="006A3471" w:rsidRDefault="006A3471" w:rsidP="008D4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n-AU"/>
        </w:rPr>
      </w:pPr>
    </w:p>
    <w:p w:rsidR="008D4A8F" w:rsidRPr="00B96010" w:rsidRDefault="008D4A8F" w:rsidP="008A0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AU"/>
        </w:rPr>
      </w:pPr>
      <w:r w:rsidRPr="00B96010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AU"/>
        </w:rPr>
        <w:t>Proposed Motion:</w:t>
      </w:r>
      <w:r w:rsidRPr="00B96010">
        <w:rPr>
          <w:rFonts w:ascii="Calibri" w:hAnsi="Calibri" w:cs="Calibri"/>
          <w:b/>
          <w:bCs/>
          <w:sz w:val="28"/>
          <w:szCs w:val="28"/>
          <w:lang w:val="en-AU"/>
        </w:rPr>
        <w:t xml:space="preserve">  </w:t>
      </w:r>
      <w:r w:rsidR="00EF4759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>AWI cease</w:t>
      </w:r>
      <w:r w:rsidR="00725095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 xml:space="preserve"> immediately</w:t>
      </w:r>
      <w:r w:rsidR="002D17AF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 xml:space="preserve"> all investment in Wool</w:t>
      </w:r>
      <w:r w:rsidR="00EF4759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>Q</w:t>
      </w:r>
      <w:r w:rsidR="002D17AF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 xml:space="preserve"> Pty Ltd</w:t>
      </w:r>
      <w:r w:rsidR="00EF4759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 xml:space="preserve"> and block chain technology</w:t>
      </w:r>
      <w:r w:rsidR="00725095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 xml:space="preserve">. </w:t>
      </w:r>
      <w:r w:rsidR="00EF4759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 xml:space="preserve"> </w:t>
      </w:r>
      <w:r w:rsidR="002D17AF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 xml:space="preserve">WoolQ </w:t>
      </w:r>
      <w:r w:rsidR="00C93E83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>to be</w:t>
      </w:r>
      <w:r w:rsidR="002D17AF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 xml:space="preserve"> sold or wound up within nine months</w:t>
      </w:r>
      <w:r w:rsidR="00C93E83" w:rsidRPr="00B96010">
        <w:rPr>
          <w:rFonts w:ascii="Calibri" w:hAnsi="Calibri" w:cs="Calibri"/>
          <w:b/>
          <w:bCs/>
          <w:color w:val="0070C0"/>
          <w:sz w:val="28"/>
          <w:szCs w:val="28"/>
          <w:lang w:val="en-AU"/>
        </w:rPr>
        <w:t>.</w:t>
      </w:r>
    </w:p>
    <w:p w:rsidR="00965F89" w:rsidRDefault="0096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-AU"/>
        </w:rPr>
      </w:pPr>
    </w:p>
    <w:p w:rsidR="00E413CC" w:rsidRDefault="000F009A" w:rsidP="000F00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-AU"/>
        </w:rPr>
        <w:sectPr w:rsidR="00E413CC" w:rsidSect="006C58D2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sz w:val="24"/>
          <w:szCs w:val="24"/>
          <w:lang w:val="en-AU"/>
        </w:rPr>
        <w:t xml:space="preserve">Please return your signed partition by email to </w:t>
      </w:r>
      <w:r w:rsidR="00DC0AE7">
        <w:rPr>
          <w:rFonts w:ascii="Calibri" w:hAnsi="Calibri" w:cs="Calibri"/>
          <w:b/>
          <w:bCs/>
          <w:sz w:val="24"/>
          <w:szCs w:val="24"/>
          <w:lang w:val="en-AU"/>
        </w:rPr>
        <w:t>“</w:t>
      </w:r>
      <w:r>
        <w:rPr>
          <w:rFonts w:ascii="Calibri" w:hAnsi="Calibri" w:cs="Calibri"/>
          <w:b/>
          <w:bCs/>
          <w:sz w:val="24"/>
          <w:szCs w:val="24"/>
          <w:lang w:val="en-AU"/>
        </w:rPr>
        <w:t>Robert Ingram</w:t>
      </w:r>
      <w:r w:rsidR="00DC0AE7">
        <w:rPr>
          <w:rFonts w:ascii="Calibri" w:hAnsi="Calibri" w:cs="Calibri"/>
          <w:b/>
          <w:bCs/>
          <w:sz w:val="24"/>
          <w:szCs w:val="24"/>
          <w:lang w:val="en-AU"/>
        </w:rPr>
        <w:t>”</w:t>
      </w:r>
      <w:r>
        <w:rPr>
          <w:rFonts w:ascii="Calibri" w:hAnsi="Calibri" w:cs="Calibri"/>
          <w:b/>
          <w:bCs/>
          <w:sz w:val="24"/>
          <w:szCs w:val="24"/>
          <w:lang w:val="en-AU"/>
        </w:rPr>
        <w:t xml:space="preserve"> </w:t>
      </w:r>
      <w:r w:rsidR="00267008">
        <w:rPr>
          <w:rFonts w:ascii="Calibri" w:hAnsi="Calibri" w:cs="Calibri"/>
          <w:b/>
          <w:bCs/>
          <w:sz w:val="24"/>
          <w:szCs w:val="24"/>
          <w:lang w:val="en-AU"/>
        </w:rPr>
        <w:t>&lt;</w:t>
      </w:r>
      <w:hyperlink r:id="rId8" w:history="1">
        <w:r w:rsidR="000B4616" w:rsidRPr="00D01218">
          <w:rPr>
            <w:rStyle w:val="Hyperlink"/>
            <w:rFonts w:ascii="Calibri" w:hAnsi="Calibri" w:cs="Calibri"/>
            <w:b/>
            <w:bCs/>
            <w:sz w:val="24"/>
            <w:szCs w:val="24"/>
            <w:lang w:val="en-AU"/>
          </w:rPr>
          <w:t>ingramrp@bigpond.net.au</w:t>
        </w:r>
      </w:hyperlink>
      <w:r w:rsidR="00267008">
        <w:rPr>
          <w:rFonts w:ascii="Calibri" w:hAnsi="Calibri" w:cs="Calibri"/>
          <w:b/>
          <w:bCs/>
          <w:sz w:val="24"/>
          <w:szCs w:val="24"/>
          <w:lang w:val="en-AU"/>
        </w:rPr>
        <w:t>&gt;</w:t>
      </w:r>
      <w:r w:rsidR="00DC0AE7">
        <w:rPr>
          <w:rFonts w:ascii="Calibri" w:hAnsi="Calibri" w:cs="Calibri"/>
          <w:b/>
          <w:bCs/>
          <w:sz w:val="24"/>
          <w:szCs w:val="24"/>
          <w:lang w:val="en-AU"/>
        </w:rPr>
        <w:t xml:space="preserve"> by 15 Oct 20</w:t>
      </w:r>
    </w:p>
    <w:p w:rsidR="0036521D" w:rsidRDefault="0096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-AU"/>
        </w:rPr>
      </w:pPr>
      <w:r>
        <w:rPr>
          <w:rFonts w:ascii="Calibri" w:hAnsi="Calibri" w:cs="Calibri"/>
          <w:b/>
          <w:bCs/>
          <w:sz w:val="24"/>
          <w:szCs w:val="24"/>
          <w:lang w:val="en-AU"/>
        </w:rPr>
        <w:lastRenderedPageBreak/>
        <w:t>EXPLANATORY NOTES</w:t>
      </w:r>
    </w:p>
    <w:p w:rsidR="00965F89" w:rsidRDefault="003B4103" w:rsidP="00FD263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WoolQ Pty Ltd is a fully owned subsidiary of AWI under the control of the AWI Board</w:t>
      </w:r>
      <w:r w:rsidR="00713503">
        <w:rPr>
          <w:rFonts w:ascii="Calibri" w:hAnsi="Calibri" w:cs="Calibri"/>
          <w:lang w:val="en-AU"/>
        </w:rPr>
        <w:t xml:space="preserve"> that </w:t>
      </w:r>
      <w:r w:rsidR="00FD2631">
        <w:rPr>
          <w:rFonts w:ascii="Calibri" w:hAnsi="Calibri" w:cs="Calibri"/>
          <w:lang w:val="en-AU"/>
        </w:rPr>
        <w:t>operates as an</w:t>
      </w:r>
      <w:r w:rsidR="00713503">
        <w:rPr>
          <w:rFonts w:ascii="Calibri" w:hAnsi="Calibri" w:cs="Calibri"/>
          <w:lang w:val="en-AU"/>
        </w:rPr>
        <w:t xml:space="preserve"> electronic platform th</w:t>
      </w:r>
      <w:r w:rsidR="00FD2631">
        <w:rPr>
          <w:rFonts w:ascii="Calibri" w:hAnsi="Calibri" w:cs="Calibri"/>
          <w:lang w:val="en-AU"/>
        </w:rPr>
        <w:t xml:space="preserve">at </w:t>
      </w:r>
      <w:r w:rsidR="00713503">
        <w:rPr>
          <w:rFonts w:ascii="Calibri" w:hAnsi="Calibri" w:cs="Calibri"/>
          <w:lang w:val="en-AU"/>
        </w:rPr>
        <w:t>facilitates the selling of wool</w:t>
      </w:r>
      <w:r w:rsidR="00FD2631">
        <w:rPr>
          <w:rFonts w:ascii="Calibri" w:hAnsi="Calibri" w:cs="Calibri"/>
          <w:lang w:val="en-AU"/>
        </w:rPr>
        <w:t>.</w:t>
      </w:r>
    </w:p>
    <w:p w:rsidR="003B4103" w:rsidRDefault="003B4103" w:rsidP="00734E8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Under the Statutory Funding Agreement (</w:t>
      </w:r>
      <w:proofErr w:type="gramStart"/>
      <w:r>
        <w:rPr>
          <w:rFonts w:ascii="Calibri" w:hAnsi="Calibri" w:cs="Calibri"/>
          <w:lang w:val="en-AU"/>
        </w:rPr>
        <w:t>SFA)</w:t>
      </w:r>
      <w:proofErr w:type="gramEnd"/>
      <w:r w:rsidR="008F3338">
        <w:rPr>
          <w:rStyle w:val="EndnoteReference"/>
          <w:rFonts w:ascii="Calibri" w:hAnsi="Calibri" w:cs="Calibri"/>
          <w:lang w:val="en-AU"/>
        </w:rPr>
        <w:endnoteReference w:id="1"/>
      </w:r>
      <w:r>
        <w:rPr>
          <w:rFonts w:ascii="Calibri" w:hAnsi="Calibri" w:cs="Calibri"/>
          <w:lang w:val="en-AU"/>
        </w:rPr>
        <w:t xml:space="preserve"> </w:t>
      </w:r>
      <w:r w:rsidR="0023240A">
        <w:rPr>
          <w:rFonts w:ascii="Calibri" w:hAnsi="Calibri" w:cs="Calibri"/>
          <w:lang w:val="en-AU"/>
        </w:rPr>
        <w:t>there are re</w:t>
      </w:r>
      <w:r w:rsidR="00734E85">
        <w:rPr>
          <w:rFonts w:ascii="Calibri" w:hAnsi="Calibri" w:cs="Calibri"/>
          <w:lang w:val="en-AU"/>
        </w:rPr>
        <w:t>quirements as to what research and development AWI can f</w:t>
      </w:r>
      <w:r w:rsidR="0023240A">
        <w:rPr>
          <w:rFonts w:ascii="Calibri" w:hAnsi="Calibri" w:cs="Calibri"/>
          <w:lang w:val="en-AU"/>
        </w:rPr>
        <w:t>und and under what circumstances</w:t>
      </w:r>
      <w:r w:rsidR="00032946">
        <w:rPr>
          <w:rFonts w:ascii="Calibri" w:hAnsi="Calibri" w:cs="Calibri"/>
          <w:lang w:val="en-AU"/>
        </w:rPr>
        <w:t>.  T</w:t>
      </w:r>
      <w:r w:rsidR="0023240A">
        <w:rPr>
          <w:rFonts w:ascii="Calibri" w:hAnsi="Calibri" w:cs="Calibri"/>
          <w:lang w:val="en-AU"/>
        </w:rPr>
        <w:t>wo of the requirements are:</w:t>
      </w:r>
    </w:p>
    <w:p w:rsidR="0023240A" w:rsidRDefault="007A7DA2" w:rsidP="00A14A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Investment can</w:t>
      </w:r>
      <w:r w:rsidR="00A14AF5">
        <w:rPr>
          <w:rFonts w:ascii="Calibri" w:hAnsi="Calibri" w:cs="Calibri"/>
          <w:lang w:val="en-AU"/>
        </w:rPr>
        <w:t>not</w:t>
      </w:r>
      <w:r>
        <w:rPr>
          <w:rFonts w:ascii="Calibri" w:hAnsi="Calibri" w:cs="Calibri"/>
          <w:lang w:val="en-AU"/>
        </w:rPr>
        <w:t xml:space="preserve"> occur </w:t>
      </w:r>
      <w:r w:rsidR="00A14AF5">
        <w:rPr>
          <w:rFonts w:ascii="Calibri" w:hAnsi="Calibri" w:cs="Calibri"/>
          <w:lang w:val="en-AU"/>
        </w:rPr>
        <w:t>unless</w:t>
      </w:r>
      <w:r w:rsidR="0023240A" w:rsidRPr="0023240A">
        <w:rPr>
          <w:rFonts w:ascii="Calibri" w:hAnsi="Calibri" w:cs="Calibri"/>
          <w:lang w:val="en-AU"/>
        </w:rPr>
        <w:t xml:space="preserve"> there is market failure</w:t>
      </w:r>
    </w:p>
    <w:p w:rsidR="0023240A" w:rsidRDefault="007A7DA2" w:rsidP="008F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I</w:t>
      </w:r>
      <w:r w:rsidR="0023240A">
        <w:rPr>
          <w:rFonts w:ascii="Calibri" w:hAnsi="Calibri" w:cs="Calibri"/>
          <w:lang w:val="en-AU"/>
        </w:rPr>
        <w:t xml:space="preserve">nvestment </w:t>
      </w:r>
      <w:r>
        <w:rPr>
          <w:rFonts w:ascii="Calibri" w:hAnsi="Calibri" w:cs="Calibri"/>
          <w:lang w:val="en-AU"/>
        </w:rPr>
        <w:t>cannot be made into</w:t>
      </w:r>
      <w:r w:rsidR="0023240A">
        <w:rPr>
          <w:rFonts w:ascii="Calibri" w:hAnsi="Calibri" w:cs="Calibri"/>
          <w:lang w:val="en-AU"/>
        </w:rPr>
        <w:t xml:space="preserve"> </w:t>
      </w:r>
      <w:r w:rsidR="002A6D67">
        <w:rPr>
          <w:rFonts w:ascii="Calibri" w:hAnsi="Calibri" w:cs="Calibri"/>
          <w:lang w:val="en-AU"/>
        </w:rPr>
        <w:t>programs/ projects that sell wool</w:t>
      </w:r>
    </w:p>
    <w:p w:rsidR="008F3338" w:rsidRDefault="00390933" w:rsidP="00113CE9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 xml:space="preserve">The ordinary motion </w:t>
      </w:r>
      <w:proofErr w:type="gramStart"/>
      <w:r w:rsidR="00235260">
        <w:rPr>
          <w:rFonts w:ascii="Calibri" w:hAnsi="Calibri" w:cs="Calibri"/>
          <w:lang w:val="en-AU"/>
        </w:rPr>
        <w:t>is proposed</w:t>
      </w:r>
      <w:proofErr w:type="gramEnd"/>
      <w:r w:rsidR="00235260">
        <w:rPr>
          <w:rFonts w:ascii="Calibri" w:hAnsi="Calibri" w:cs="Calibri"/>
          <w:lang w:val="en-AU"/>
        </w:rPr>
        <w:t xml:space="preserve"> given the following consideration</w:t>
      </w:r>
      <w:r>
        <w:rPr>
          <w:rFonts w:ascii="Calibri" w:hAnsi="Calibri" w:cs="Calibri"/>
          <w:lang w:val="en-AU"/>
        </w:rPr>
        <w:t xml:space="preserve"> </w:t>
      </w:r>
    </w:p>
    <w:p w:rsidR="00D62F0B" w:rsidRDefault="00713503" w:rsidP="00D62F0B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There is </w:t>
      </w:r>
      <w:r w:rsidRPr="00713503">
        <w:rPr>
          <w:b/>
          <w:bCs/>
          <w:u w:val="single"/>
        </w:rPr>
        <w:t>no market failure in the area of electronic wool selling platforms</w:t>
      </w:r>
      <w:r w:rsidR="00574C1B">
        <w:rPr>
          <w:b/>
          <w:bCs/>
          <w:u w:val="single"/>
        </w:rPr>
        <w:t xml:space="preserve"> </w:t>
      </w:r>
      <w:r w:rsidR="00D62F0B">
        <w:rPr>
          <w:b/>
          <w:bCs/>
          <w:u w:val="single"/>
        </w:rPr>
        <w:t>or</w:t>
      </w:r>
      <w:r w:rsidR="00574C1B">
        <w:rPr>
          <w:b/>
          <w:bCs/>
          <w:u w:val="single"/>
        </w:rPr>
        <w:t xml:space="preserve"> block chain technology.</w:t>
      </w:r>
      <w:r w:rsidR="00574C1B">
        <w:t xml:space="preserve">  </w:t>
      </w:r>
    </w:p>
    <w:p w:rsidR="00713503" w:rsidRDefault="00574C1B" w:rsidP="0093416A">
      <w:pPr>
        <w:spacing w:after="120" w:line="240" w:lineRule="auto"/>
        <w:ind w:left="720"/>
      </w:pPr>
      <w:r>
        <w:t>C</w:t>
      </w:r>
      <w:r w:rsidR="00713503">
        <w:t xml:space="preserve">urrently two </w:t>
      </w:r>
      <w:proofErr w:type="gramStart"/>
      <w:r w:rsidR="0093416A">
        <w:rPr>
          <w:rFonts w:ascii="Calibri" w:hAnsi="Calibri" w:cs="Calibri"/>
          <w:lang w:val="en-AU"/>
        </w:rPr>
        <w:t>electronic  wool</w:t>
      </w:r>
      <w:proofErr w:type="gramEnd"/>
      <w:r w:rsidR="0093416A">
        <w:rPr>
          <w:rFonts w:ascii="Calibri" w:hAnsi="Calibri" w:cs="Calibri"/>
          <w:lang w:val="en-AU"/>
        </w:rPr>
        <w:t xml:space="preserve"> selling platforms </w:t>
      </w:r>
      <w:r w:rsidR="0093416A">
        <w:t>operate</w:t>
      </w:r>
      <w:r w:rsidR="00713503">
        <w:t xml:space="preserve"> (Wooltrade and Auctions Plus)</w:t>
      </w:r>
      <w:r>
        <w:t xml:space="preserve"> and others are being developed</w:t>
      </w:r>
      <w:r w:rsidR="00713503">
        <w:t>.</w:t>
      </w:r>
      <w:r>
        <w:t xml:space="preserve"> Block chain tech</w:t>
      </w:r>
      <w:r w:rsidR="00D62F0B">
        <w:t>nol</w:t>
      </w:r>
      <w:r>
        <w:t>ogy</w:t>
      </w:r>
      <w:r w:rsidR="00D62F0B">
        <w:t xml:space="preserve"> is used by players in the w</w:t>
      </w:r>
      <w:r>
        <w:t>ool supply chain already and offers to AWI to take over and further develop and expand an existing system were</w:t>
      </w:r>
      <w:r w:rsidR="00D62F0B">
        <w:t xml:space="preserve"> rejected as AWI said it would develop its own block chain technology. </w:t>
      </w:r>
    </w:p>
    <w:p w:rsidR="00E83FD0" w:rsidRDefault="00B07E33" w:rsidP="00B07E33">
      <w:pPr>
        <w:spacing w:after="120" w:line="240" w:lineRule="auto"/>
        <w:ind w:left="720"/>
      </w:pPr>
      <w:r>
        <w:t xml:space="preserve">No up-to-date </w:t>
      </w:r>
      <w:proofErr w:type="gramStart"/>
      <w:r>
        <w:t>figures on expenditure on these two technologies is</w:t>
      </w:r>
      <w:proofErr w:type="gramEnd"/>
      <w:r>
        <w:t xml:space="preserve"> available but it is understood it is between $5.5 million and $ 7.0 million</w:t>
      </w:r>
      <w:r w:rsidR="00CF4E91">
        <w:t xml:space="preserve"> of shareholders monies has </w:t>
      </w:r>
      <w:r w:rsidR="00C43310">
        <w:t>been expended in contradiction</w:t>
      </w:r>
      <w:r w:rsidR="00CF4E91">
        <w:t xml:space="preserve"> to the SFA and the recommendations of the WoolQ review committee</w:t>
      </w:r>
      <w:r w:rsidR="00CF4E91">
        <w:rPr>
          <w:rStyle w:val="EndnoteReference"/>
        </w:rPr>
        <w:endnoteReference w:id="2"/>
      </w:r>
      <w:r w:rsidR="00597716">
        <w:t>.</w:t>
      </w:r>
    </w:p>
    <w:p w:rsidR="00E83FD0" w:rsidRDefault="00E83FD0" w:rsidP="0093416A">
      <w:pPr>
        <w:spacing w:after="120" w:line="240" w:lineRule="auto"/>
        <w:ind w:left="720"/>
      </w:pPr>
      <w:r>
        <w:t>Investment in these technologies contravenes the SFA</w:t>
      </w:r>
      <w:r w:rsidR="005600FE">
        <w:t xml:space="preserve"> as there is no market failure</w:t>
      </w:r>
      <w:r>
        <w:t>.</w:t>
      </w:r>
      <w:r w:rsidR="00235260">
        <w:t xml:space="preserve">  This contravention has been raised with the responsible Federal government department – Agriculture, Water and Environment</w:t>
      </w:r>
      <w:r w:rsidR="00597716">
        <w:t>.</w:t>
      </w:r>
    </w:p>
    <w:p w:rsidR="005600FE" w:rsidRDefault="004065E6" w:rsidP="004065E6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rPr>
          <w:b/>
          <w:bCs/>
          <w:u w:val="single"/>
        </w:rPr>
        <w:t>WoolQ is now a wool selling platform which is a serious breach of the SFA</w:t>
      </w:r>
      <w:r w:rsidR="007D09AD">
        <w:rPr>
          <w:b/>
          <w:bCs/>
          <w:u w:val="single"/>
        </w:rPr>
        <w:t>.</w:t>
      </w:r>
      <w:r w:rsidR="005600FE">
        <w:t xml:space="preserve">  </w:t>
      </w:r>
    </w:p>
    <w:p w:rsidR="007D09AD" w:rsidRDefault="007D09AD" w:rsidP="005600FE">
      <w:pPr>
        <w:spacing w:after="120" w:line="240" w:lineRule="auto"/>
        <w:ind w:left="720"/>
      </w:pPr>
      <w:proofErr w:type="gramStart"/>
      <w:r>
        <w:t>WoolQ  now</w:t>
      </w:r>
      <w:proofErr w:type="gramEnd"/>
      <w:r>
        <w:t xml:space="preserve"> operates as a platform to facilitate the selling of wool. This is a serious breach under the SFA and </w:t>
      </w:r>
      <w:r w:rsidR="006931E8">
        <w:t>the company’s Constitution</w:t>
      </w:r>
      <w:r>
        <w:t>.</w:t>
      </w:r>
    </w:p>
    <w:p w:rsidR="00E84600" w:rsidRDefault="007D09AD" w:rsidP="00E84600">
      <w:pPr>
        <w:spacing w:after="120" w:line="240" w:lineRule="auto"/>
        <w:ind w:left="720"/>
      </w:pPr>
      <w:r>
        <w:t>The system has also failed</w:t>
      </w:r>
      <w:r w:rsidR="00E84600">
        <w:t xml:space="preserve"> in terms of market and grower adoption.  Agents and exporters are opposed to WoolQ and refuse to adopt it – there is no and will be no adoption by the brokering and exporting segments of the industry, confirmed in discussions with representatives of these industry segments.</w:t>
      </w:r>
    </w:p>
    <w:p w:rsidR="007A7DA2" w:rsidRPr="006931E8" w:rsidRDefault="006931E8" w:rsidP="00700051">
      <w:pPr>
        <w:spacing w:after="120" w:line="240" w:lineRule="auto"/>
        <w:ind w:left="720"/>
      </w:pPr>
      <w:r>
        <w:t xml:space="preserve">There is very limited adoption </w:t>
      </w:r>
      <w:r w:rsidR="00700051">
        <w:t xml:space="preserve">by wool growers </w:t>
      </w:r>
      <w:r>
        <w:t>of WoolQ</w:t>
      </w:r>
      <w:r w:rsidR="00700051">
        <w:t>.</w:t>
      </w:r>
      <w:r>
        <w:t xml:space="preserve"> </w:t>
      </w:r>
      <w:r w:rsidR="00700051">
        <w:t>WoolQ weekly sales are an insignifican</w:t>
      </w:r>
      <w:r w:rsidR="00267008">
        <w:t xml:space="preserve">t part of the trade, less than </w:t>
      </w:r>
      <w:r w:rsidR="00700051">
        <w:t>1% on a weekly basis</w:t>
      </w:r>
      <w:r w:rsidR="00784E15">
        <w:t>,</w:t>
      </w:r>
      <w:r w:rsidR="00700051">
        <w:t xml:space="preserve"> </w:t>
      </w:r>
      <w:r>
        <w:t>because there is no market failure</w:t>
      </w:r>
      <w:r w:rsidR="00784E15">
        <w:t>.</w:t>
      </w:r>
    </w:p>
    <w:p w:rsidR="008F3338" w:rsidRPr="008F3338" w:rsidRDefault="007A7DA2" w:rsidP="00350320">
      <w:pPr>
        <w:spacing w:after="120" w:line="240" w:lineRule="auto"/>
        <w:ind w:left="720"/>
        <w:rPr>
          <w:rFonts w:ascii="Calibri" w:hAnsi="Calibri" w:cs="Calibri"/>
          <w:lang w:val="en-AU"/>
        </w:rPr>
      </w:pPr>
      <w:r>
        <w:t>Involvement in this segment of the wool industry is outside of AWI's mandate under the SFA as an RDC – selling wool is outside of the SFA regulations</w:t>
      </w:r>
      <w:r w:rsidR="002B4557">
        <w:t>.  This breach has been brought to the attention of the responsible Federal government department – Agriculture, Water and Environment</w:t>
      </w:r>
      <w:r w:rsidR="00597716">
        <w:t>.</w:t>
      </w:r>
    </w:p>
    <w:sectPr w:rsidR="008F3338" w:rsidRPr="008F3338" w:rsidSect="00965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AE" w:rsidRDefault="00A265AE" w:rsidP="007C7071">
      <w:pPr>
        <w:spacing w:after="0" w:line="240" w:lineRule="auto"/>
      </w:pPr>
      <w:r>
        <w:separator/>
      </w:r>
    </w:p>
  </w:endnote>
  <w:endnote w:type="continuationSeparator" w:id="0">
    <w:p w:rsidR="00A265AE" w:rsidRDefault="00A265AE" w:rsidP="007C7071">
      <w:pPr>
        <w:spacing w:after="0" w:line="240" w:lineRule="auto"/>
      </w:pPr>
      <w:r>
        <w:continuationSeparator/>
      </w:r>
    </w:p>
  </w:endnote>
  <w:endnote w:id="1">
    <w:p w:rsidR="008F3338" w:rsidRPr="002A6D67" w:rsidRDefault="008F3338" w:rsidP="00F448D0">
      <w:pPr>
        <w:pStyle w:val="EndnoteText"/>
        <w:spacing w:after="60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Calibri" w:hAnsi="Calibri" w:cs="Calibri"/>
          <w:lang w:val="en-AU"/>
        </w:rPr>
        <w:t>The Statutory Funding Agreement dictates the operation of AWI in order for government funds to be provided to the Company</w:t>
      </w:r>
      <w:r w:rsidR="00734E85">
        <w:rPr>
          <w:rFonts w:ascii="Calibri" w:hAnsi="Calibri" w:cs="Calibri"/>
          <w:lang w:val="en-AU"/>
        </w:rPr>
        <w:t>, which is</w:t>
      </w:r>
      <w:r>
        <w:rPr>
          <w:rFonts w:ascii="Calibri" w:hAnsi="Calibri" w:cs="Calibri"/>
          <w:lang w:val="en-AU"/>
        </w:rPr>
        <w:t xml:space="preserve"> around 15% of the </w:t>
      </w:r>
      <w:r w:rsidR="00734E85">
        <w:rPr>
          <w:rFonts w:ascii="Calibri" w:hAnsi="Calibri" w:cs="Calibri"/>
          <w:lang w:val="en-AU"/>
        </w:rPr>
        <w:t xml:space="preserve">company’s </w:t>
      </w:r>
      <w:r>
        <w:rPr>
          <w:rFonts w:ascii="Calibri" w:hAnsi="Calibri" w:cs="Calibri"/>
          <w:lang w:val="en-AU"/>
        </w:rPr>
        <w:t>total funds each year</w:t>
      </w:r>
    </w:p>
  </w:endnote>
  <w:endnote w:id="2">
    <w:p w:rsidR="00CF4E91" w:rsidRPr="00CF4E91" w:rsidRDefault="00CF4E91" w:rsidP="00DD1152">
      <w:pPr>
        <w:pStyle w:val="EndnoteText"/>
        <w:spacing w:after="60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FB4889">
        <w:rPr>
          <w:lang w:val="en-AU"/>
        </w:rPr>
        <w:t xml:space="preserve">The WoolQ review committee recommended that the system only </w:t>
      </w:r>
      <w:proofErr w:type="gramStart"/>
      <w:r w:rsidR="00FB4889">
        <w:rPr>
          <w:lang w:val="en-AU"/>
        </w:rPr>
        <w:t>be implemented</w:t>
      </w:r>
      <w:proofErr w:type="gramEnd"/>
      <w:r w:rsidR="00FB4889">
        <w:rPr>
          <w:lang w:val="en-AU"/>
        </w:rPr>
        <w:t xml:space="preserve"> </w:t>
      </w:r>
      <w:r w:rsidR="009471DC">
        <w:rPr>
          <w:lang w:val="en-AU"/>
        </w:rPr>
        <w:t xml:space="preserve">in </w:t>
      </w:r>
      <w:r w:rsidR="00FB4889">
        <w:rPr>
          <w:lang w:val="en-AU"/>
        </w:rPr>
        <w:t xml:space="preserve">collaboration </w:t>
      </w:r>
      <w:r w:rsidR="009471DC">
        <w:rPr>
          <w:lang w:val="en-AU"/>
        </w:rPr>
        <w:t xml:space="preserve">and support of </w:t>
      </w:r>
      <w:r w:rsidR="00FB4889">
        <w:rPr>
          <w:lang w:val="en-AU"/>
        </w:rPr>
        <w:t xml:space="preserve">AWEX and AWTA. </w:t>
      </w:r>
      <w:r w:rsidR="009471DC">
        <w:rPr>
          <w:lang w:val="en-AU"/>
        </w:rPr>
        <w:t xml:space="preserve"> AWEX and AWTA</w:t>
      </w:r>
      <w:r w:rsidR="00473600">
        <w:rPr>
          <w:lang w:val="en-AU"/>
        </w:rPr>
        <w:t xml:space="preserve"> have indicated that do not wish to participate in WoolQ</w:t>
      </w:r>
      <w:r w:rsidR="00696661">
        <w:rPr>
          <w:lang w:val="en-AU"/>
        </w:rPr>
        <w:t xml:space="preserve">. </w:t>
      </w:r>
      <w:r w:rsidR="00DD1152">
        <w:rPr>
          <w:lang w:val="en-AU"/>
        </w:rPr>
        <w:t>It is important to note the review committee did not raise or consider WoolQ violating the SFA in terms of market failure and the selling of wool.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AE" w:rsidRDefault="00A265AE" w:rsidP="007C7071">
      <w:pPr>
        <w:spacing w:after="0" w:line="240" w:lineRule="auto"/>
      </w:pPr>
      <w:r>
        <w:separator/>
      </w:r>
    </w:p>
  </w:footnote>
  <w:footnote w:type="continuationSeparator" w:id="0">
    <w:p w:rsidR="00A265AE" w:rsidRDefault="00A265AE" w:rsidP="007C7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1282"/>
    <w:multiLevelType w:val="hybridMultilevel"/>
    <w:tmpl w:val="82DA6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57715"/>
    <w:multiLevelType w:val="hybridMultilevel"/>
    <w:tmpl w:val="4C0E1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C58D2"/>
    <w:rsid w:val="00032946"/>
    <w:rsid w:val="00066F17"/>
    <w:rsid w:val="000B4616"/>
    <w:rsid w:val="000F009A"/>
    <w:rsid w:val="00113CE9"/>
    <w:rsid w:val="0012782B"/>
    <w:rsid w:val="001E1E86"/>
    <w:rsid w:val="0023240A"/>
    <w:rsid w:val="00235260"/>
    <w:rsid w:val="00247929"/>
    <w:rsid w:val="00267008"/>
    <w:rsid w:val="00290275"/>
    <w:rsid w:val="002A6D67"/>
    <w:rsid w:val="002B4557"/>
    <w:rsid w:val="002D17AF"/>
    <w:rsid w:val="00350320"/>
    <w:rsid w:val="0035447B"/>
    <w:rsid w:val="0036521D"/>
    <w:rsid w:val="00390933"/>
    <w:rsid w:val="003A50BB"/>
    <w:rsid w:val="003B4103"/>
    <w:rsid w:val="003C67D9"/>
    <w:rsid w:val="004065E6"/>
    <w:rsid w:val="00473600"/>
    <w:rsid w:val="004842E7"/>
    <w:rsid w:val="004C341C"/>
    <w:rsid w:val="00522ADE"/>
    <w:rsid w:val="00524896"/>
    <w:rsid w:val="00536BF0"/>
    <w:rsid w:val="00557E7B"/>
    <w:rsid w:val="005600FE"/>
    <w:rsid w:val="00565E6A"/>
    <w:rsid w:val="00574C1B"/>
    <w:rsid w:val="00597716"/>
    <w:rsid w:val="005D1579"/>
    <w:rsid w:val="006931E8"/>
    <w:rsid w:val="00696661"/>
    <w:rsid w:val="006A3471"/>
    <w:rsid w:val="006C58D2"/>
    <w:rsid w:val="00700051"/>
    <w:rsid w:val="00713503"/>
    <w:rsid w:val="00725095"/>
    <w:rsid w:val="00734E85"/>
    <w:rsid w:val="00740892"/>
    <w:rsid w:val="00784E15"/>
    <w:rsid w:val="007A7DA2"/>
    <w:rsid w:val="007C7071"/>
    <w:rsid w:val="007D09AD"/>
    <w:rsid w:val="007D2FD2"/>
    <w:rsid w:val="008112AC"/>
    <w:rsid w:val="008A059D"/>
    <w:rsid w:val="008D4A8F"/>
    <w:rsid w:val="008F3338"/>
    <w:rsid w:val="008F3F23"/>
    <w:rsid w:val="0093416A"/>
    <w:rsid w:val="009471DC"/>
    <w:rsid w:val="00965F89"/>
    <w:rsid w:val="00A14AF5"/>
    <w:rsid w:val="00A265AE"/>
    <w:rsid w:val="00B07E33"/>
    <w:rsid w:val="00B96010"/>
    <w:rsid w:val="00BE21FB"/>
    <w:rsid w:val="00BF115F"/>
    <w:rsid w:val="00C43310"/>
    <w:rsid w:val="00C93E83"/>
    <w:rsid w:val="00CF4E91"/>
    <w:rsid w:val="00D62F0B"/>
    <w:rsid w:val="00DC0AE7"/>
    <w:rsid w:val="00DD1152"/>
    <w:rsid w:val="00E33A4B"/>
    <w:rsid w:val="00E413CC"/>
    <w:rsid w:val="00E80B42"/>
    <w:rsid w:val="00E83FD0"/>
    <w:rsid w:val="00E84600"/>
    <w:rsid w:val="00EF4759"/>
    <w:rsid w:val="00F448D0"/>
    <w:rsid w:val="00FB4889"/>
    <w:rsid w:val="00FD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071"/>
  </w:style>
  <w:style w:type="paragraph" w:styleId="Footer">
    <w:name w:val="footer"/>
    <w:basedOn w:val="Normal"/>
    <w:link w:val="FooterChar"/>
    <w:uiPriority w:val="99"/>
    <w:semiHidden/>
    <w:unhideWhenUsed/>
    <w:rsid w:val="007C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071"/>
  </w:style>
  <w:style w:type="paragraph" w:styleId="ListParagraph">
    <w:name w:val="List Paragraph"/>
    <w:basedOn w:val="Normal"/>
    <w:uiPriority w:val="34"/>
    <w:qFormat/>
    <w:rsid w:val="0023240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A6D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6D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6D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amrp@bigpond.net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7446A6-A893-46A6-89D4-78D4CAE6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Stephens</dc:creator>
  <cp:lastModifiedBy>Rob Ingram</cp:lastModifiedBy>
  <cp:revision>11</cp:revision>
  <dcterms:created xsi:type="dcterms:W3CDTF">2020-09-04T22:47:00Z</dcterms:created>
  <dcterms:modified xsi:type="dcterms:W3CDTF">2020-09-17T12:17:00Z</dcterms:modified>
</cp:coreProperties>
</file>